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8E49" w14:textId="77777777" w:rsidR="00EB7C63" w:rsidRPr="00EB7C63" w:rsidRDefault="00EB7C63" w:rsidP="00EB7C63">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proofErr w:type="spellStart"/>
      <w:r w:rsidRPr="00EB7C63">
        <w:rPr>
          <w:rFonts w:ascii="Poppins" w:eastAsia="Times New Roman" w:hAnsi="Poppins" w:cs="Poppins"/>
          <w:color w:val="000000"/>
          <w:kern w:val="0"/>
          <w:sz w:val="33"/>
          <w:szCs w:val="33"/>
          <w14:ligatures w14:val="none"/>
        </w:rPr>
        <w:t>Tesamorelin</w:t>
      </w:r>
      <w:proofErr w:type="spellEnd"/>
      <w:r w:rsidRPr="00EB7C63">
        <w:rPr>
          <w:rFonts w:ascii="Poppins" w:eastAsia="Times New Roman" w:hAnsi="Poppins" w:cs="Poppins"/>
          <w:color w:val="000000"/>
          <w:kern w:val="0"/>
          <w:sz w:val="33"/>
          <w:szCs w:val="33"/>
          <w14:ligatures w14:val="none"/>
        </w:rPr>
        <w:t xml:space="preserve"> Peptide</w:t>
      </w:r>
    </w:p>
    <w:p w14:paraId="019E4EAE" w14:textId="77777777" w:rsidR="00EB7C63" w:rsidRPr="00EB7C63" w:rsidRDefault="00EB7C63" w:rsidP="00EB7C63">
      <w:pPr>
        <w:shd w:val="clear" w:color="auto" w:fill="FFFFFF"/>
        <w:spacing w:after="0" w:line="240" w:lineRule="auto"/>
        <w:textAlignment w:val="baseline"/>
        <w:rPr>
          <w:rFonts w:ascii="Poppins" w:eastAsia="Times New Roman" w:hAnsi="Poppins" w:cs="Poppins"/>
          <w:color w:val="000000"/>
          <w:kern w:val="0"/>
          <w:sz w:val="21"/>
          <w:szCs w:val="21"/>
          <w14:ligatures w14:val="none"/>
        </w:rPr>
      </w:pP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is a chemically altered growth hormone-releasing hormone (GHRH) analog. This peptide is a trans-3-hexanoic acid version of natural GHRH. It has been researched for its potential to enhance peripheral nerve regeneration and improve mild cognitive impairment (MCI), the precursor to dementia. </w:t>
      </w: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appears to mediate the positive influence of GHRH and other GHRH analogs such as GRF (1-29), CJC-1295, and </w:t>
      </w:r>
      <w:proofErr w:type="spellStart"/>
      <w:r w:rsidRPr="00EB7C63">
        <w:rPr>
          <w:rFonts w:ascii="Poppins" w:eastAsia="Times New Roman" w:hAnsi="Poppins" w:cs="Poppins"/>
          <w:color w:val="000000"/>
          <w:kern w:val="0"/>
          <w:sz w:val="21"/>
          <w:szCs w:val="21"/>
          <w14:ligatures w14:val="none"/>
        </w:rPr>
        <w:fldChar w:fldCharType="begin"/>
      </w:r>
      <w:r w:rsidRPr="00EB7C63">
        <w:rPr>
          <w:rFonts w:ascii="Poppins" w:eastAsia="Times New Roman" w:hAnsi="Poppins" w:cs="Poppins"/>
          <w:color w:val="000000"/>
          <w:kern w:val="0"/>
          <w:sz w:val="21"/>
          <w:szCs w:val="21"/>
          <w14:ligatures w14:val="none"/>
        </w:rPr>
        <w:instrText>HYPERLINK "https://biotechpeptides.com/product/sermorelin-5mg/" \t "_blank"</w:instrText>
      </w:r>
      <w:r w:rsidRPr="00EB7C63">
        <w:rPr>
          <w:rFonts w:ascii="Poppins" w:eastAsia="Times New Roman" w:hAnsi="Poppins" w:cs="Poppins"/>
          <w:color w:val="000000"/>
          <w:kern w:val="0"/>
          <w:sz w:val="21"/>
          <w:szCs w:val="21"/>
          <w14:ligatures w14:val="none"/>
        </w:rPr>
      </w:r>
      <w:r w:rsidRPr="00EB7C63">
        <w:rPr>
          <w:rFonts w:ascii="Poppins" w:eastAsia="Times New Roman" w:hAnsi="Poppins" w:cs="Poppins"/>
          <w:color w:val="000000"/>
          <w:kern w:val="0"/>
          <w:sz w:val="21"/>
          <w:szCs w:val="21"/>
          <w14:ligatures w14:val="none"/>
        </w:rPr>
        <w:fldChar w:fldCharType="separate"/>
      </w:r>
      <w:r w:rsidRPr="00EB7C63">
        <w:rPr>
          <w:rFonts w:ascii="Poppins" w:eastAsia="Times New Roman" w:hAnsi="Poppins" w:cs="Poppins"/>
          <w:color w:val="0E66AF"/>
          <w:kern w:val="0"/>
          <w:sz w:val="21"/>
          <w:szCs w:val="21"/>
          <w:u w:val="single"/>
          <w:bdr w:val="none" w:sz="0" w:space="0" w:color="auto" w:frame="1"/>
          <w14:ligatures w14:val="none"/>
        </w:rPr>
        <w:t>sermorelin</w:t>
      </w:r>
      <w:proofErr w:type="spellEnd"/>
      <w:r w:rsidRPr="00EB7C63">
        <w:rPr>
          <w:rFonts w:ascii="Poppins" w:eastAsia="Times New Roman" w:hAnsi="Poppins" w:cs="Poppins"/>
          <w:color w:val="000000"/>
          <w:kern w:val="0"/>
          <w:sz w:val="21"/>
          <w:szCs w:val="21"/>
          <w14:ligatures w14:val="none"/>
        </w:rPr>
        <w:fldChar w:fldCharType="end"/>
      </w:r>
      <w:r w:rsidRPr="00EB7C63">
        <w:rPr>
          <w:rFonts w:ascii="Poppins" w:eastAsia="Times New Roman" w:hAnsi="Poppins" w:cs="Poppins"/>
          <w:color w:val="000000"/>
          <w:kern w:val="0"/>
          <w:sz w:val="21"/>
          <w:szCs w:val="21"/>
          <w14:ligatures w14:val="none"/>
        </w:rPr>
        <w:t xml:space="preserve">. The trans-3-hexanoic acid modification may increase its blood plasma stability and half-life. Both </w:t>
      </w: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and CJC-1295 appear to maintain the physiological activity of GHRH, without disrupting the physiological rhythm of GH release.</w:t>
      </w:r>
    </w:p>
    <w:p w14:paraId="313D199E" w14:textId="77777777" w:rsidR="00EB7C63" w:rsidRPr="00EB7C63" w:rsidRDefault="00EB7C63" w:rsidP="00EB7C63">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EB7C63">
        <w:rPr>
          <w:rFonts w:ascii="Poppins" w:eastAsia="Times New Roman" w:hAnsi="Poppins" w:cs="Poppins"/>
          <w:color w:val="000000"/>
          <w:kern w:val="0"/>
          <w:sz w:val="33"/>
          <w:szCs w:val="33"/>
          <w14:ligatures w14:val="none"/>
        </w:rPr>
        <w:t>Specifications</w:t>
      </w:r>
    </w:p>
    <w:p w14:paraId="100C82EB" w14:textId="77777777" w:rsidR="00EB7C63" w:rsidRPr="00EB7C63" w:rsidRDefault="00EB7C63" w:rsidP="00EB7C6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MOLECULAR FORMULA:</w:t>
      </w:r>
      <w:r w:rsidRPr="00EB7C63">
        <w:rPr>
          <w:rFonts w:ascii="Poppins" w:eastAsia="Times New Roman" w:hAnsi="Poppins" w:cs="Poppins"/>
          <w:color w:val="000000"/>
          <w:kern w:val="0"/>
          <w:sz w:val="21"/>
          <w:szCs w:val="21"/>
          <w14:ligatures w14:val="none"/>
        </w:rPr>
        <w:t> C</w:t>
      </w:r>
      <w:r w:rsidRPr="00EB7C63">
        <w:rPr>
          <w:rFonts w:ascii="Poppins" w:eastAsia="Times New Roman" w:hAnsi="Poppins" w:cs="Poppins"/>
          <w:color w:val="000000"/>
          <w:kern w:val="0"/>
          <w:sz w:val="21"/>
          <w:szCs w:val="21"/>
          <w:bdr w:val="none" w:sz="0" w:space="0" w:color="auto" w:frame="1"/>
          <w:vertAlign w:val="subscript"/>
          <w14:ligatures w14:val="none"/>
        </w:rPr>
        <w:t>221</w:t>
      </w:r>
      <w:r w:rsidRPr="00EB7C63">
        <w:rPr>
          <w:rFonts w:ascii="Poppins" w:eastAsia="Times New Roman" w:hAnsi="Poppins" w:cs="Poppins"/>
          <w:color w:val="000000"/>
          <w:kern w:val="0"/>
          <w:sz w:val="21"/>
          <w:szCs w:val="21"/>
          <w14:ligatures w14:val="none"/>
        </w:rPr>
        <w:t>H</w:t>
      </w:r>
      <w:r w:rsidRPr="00EB7C63">
        <w:rPr>
          <w:rFonts w:ascii="Poppins" w:eastAsia="Times New Roman" w:hAnsi="Poppins" w:cs="Poppins"/>
          <w:color w:val="000000"/>
          <w:kern w:val="0"/>
          <w:sz w:val="21"/>
          <w:szCs w:val="21"/>
          <w:bdr w:val="none" w:sz="0" w:space="0" w:color="auto" w:frame="1"/>
          <w:vertAlign w:val="subscript"/>
          <w14:ligatures w14:val="none"/>
        </w:rPr>
        <w:t>366</w:t>
      </w:r>
      <w:r w:rsidRPr="00EB7C63">
        <w:rPr>
          <w:rFonts w:ascii="Poppins" w:eastAsia="Times New Roman" w:hAnsi="Poppins" w:cs="Poppins"/>
          <w:color w:val="000000"/>
          <w:kern w:val="0"/>
          <w:sz w:val="21"/>
          <w:szCs w:val="21"/>
          <w14:ligatures w14:val="none"/>
        </w:rPr>
        <w:t>N</w:t>
      </w:r>
      <w:r w:rsidRPr="00EB7C63">
        <w:rPr>
          <w:rFonts w:ascii="Poppins" w:eastAsia="Times New Roman" w:hAnsi="Poppins" w:cs="Poppins"/>
          <w:color w:val="000000"/>
          <w:kern w:val="0"/>
          <w:sz w:val="21"/>
          <w:szCs w:val="21"/>
          <w:bdr w:val="none" w:sz="0" w:space="0" w:color="auto" w:frame="1"/>
          <w:vertAlign w:val="subscript"/>
          <w14:ligatures w14:val="none"/>
        </w:rPr>
        <w:t>72</w:t>
      </w:r>
      <w:r w:rsidRPr="00EB7C63">
        <w:rPr>
          <w:rFonts w:ascii="Poppins" w:eastAsia="Times New Roman" w:hAnsi="Poppins" w:cs="Poppins"/>
          <w:color w:val="000000"/>
          <w:kern w:val="0"/>
          <w:sz w:val="21"/>
          <w:szCs w:val="21"/>
          <w14:ligatures w14:val="none"/>
        </w:rPr>
        <w:t>O</w:t>
      </w:r>
      <w:r w:rsidRPr="00EB7C63">
        <w:rPr>
          <w:rFonts w:ascii="Poppins" w:eastAsia="Times New Roman" w:hAnsi="Poppins" w:cs="Poppins"/>
          <w:color w:val="000000"/>
          <w:kern w:val="0"/>
          <w:sz w:val="21"/>
          <w:szCs w:val="21"/>
          <w:bdr w:val="none" w:sz="0" w:space="0" w:color="auto" w:frame="1"/>
          <w:vertAlign w:val="subscript"/>
          <w14:ligatures w14:val="none"/>
        </w:rPr>
        <w:t>67</w:t>
      </w:r>
      <w:r w:rsidRPr="00EB7C63">
        <w:rPr>
          <w:rFonts w:ascii="Poppins" w:eastAsia="Times New Roman" w:hAnsi="Poppins" w:cs="Poppins"/>
          <w:color w:val="000000"/>
          <w:kern w:val="0"/>
          <w:sz w:val="21"/>
          <w:szCs w:val="21"/>
          <w14:ligatures w14:val="none"/>
        </w:rPr>
        <w:t>S</w:t>
      </w:r>
    </w:p>
    <w:p w14:paraId="4B07190C" w14:textId="77777777" w:rsidR="00EB7C63" w:rsidRPr="00EB7C63" w:rsidRDefault="00EB7C63" w:rsidP="00EB7C6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MOLECULAR WEIGHT:</w:t>
      </w:r>
      <w:r w:rsidRPr="00EB7C63">
        <w:rPr>
          <w:rFonts w:ascii="Poppins" w:eastAsia="Times New Roman" w:hAnsi="Poppins" w:cs="Poppins"/>
          <w:color w:val="000000"/>
          <w:kern w:val="0"/>
          <w:sz w:val="21"/>
          <w:szCs w:val="21"/>
          <w14:ligatures w14:val="none"/>
        </w:rPr>
        <w:t> 5135.77 g/mol</w:t>
      </w:r>
    </w:p>
    <w:p w14:paraId="6A58AEDF" w14:textId="77777777" w:rsidR="00EB7C63" w:rsidRPr="00EB7C63" w:rsidRDefault="00EB7C63" w:rsidP="00EB7C6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SEQUENCE:</w:t>
      </w:r>
      <w:r w:rsidRPr="00EB7C63">
        <w:rPr>
          <w:rFonts w:ascii="Poppins" w:eastAsia="Times New Roman" w:hAnsi="Poppins" w:cs="Poppins"/>
          <w:color w:val="000000"/>
          <w:kern w:val="0"/>
          <w:sz w:val="21"/>
          <w:szCs w:val="21"/>
          <w14:ligatures w14:val="none"/>
        </w:rPr>
        <w:t> trans-hexenoyl-acid-Tyr-Ala-Asp-Ala-Ile-Phe-Thr-AsnSer-Tyr-Arg-Lys-Val-Leu-Gly-Gln-Leu-Ser-Ala-Arg-Lys-Leu-LeuGln-Asp-Ile-Met-Ser-Arg-GlnGln-Gly-Glu-Ser-Asn-Gln-Glu-Arg-Gly-Ala-Arg-Ala-Arg-Leu</w:t>
      </w:r>
    </w:p>
    <w:p w14:paraId="67398A82" w14:textId="77777777" w:rsidR="00EB7C63" w:rsidRPr="00EB7C63" w:rsidRDefault="00EB7C63" w:rsidP="00EB7C63">
      <w:pPr>
        <w:shd w:val="clear" w:color="auto" w:fill="F7F7F7"/>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color w:val="000000"/>
          <w:kern w:val="0"/>
          <w:sz w:val="21"/>
          <w:szCs w:val="21"/>
          <w14:ligatures w14:val="none"/>
        </w:rPr>
        <w:t> </w:t>
      </w:r>
    </w:p>
    <w:p w14:paraId="258393D7" w14:textId="77777777" w:rsidR="00EB7C63" w:rsidRPr="00EB7C63" w:rsidRDefault="00EB7C63" w:rsidP="00EB7C63">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proofErr w:type="spellStart"/>
      <w:r w:rsidRPr="00EB7C63">
        <w:rPr>
          <w:rFonts w:ascii="Poppins" w:eastAsia="Times New Roman" w:hAnsi="Poppins" w:cs="Poppins"/>
          <w:color w:val="000000"/>
          <w:kern w:val="0"/>
          <w:sz w:val="33"/>
          <w:szCs w:val="33"/>
          <w14:ligatures w14:val="none"/>
        </w:rPr>
        <w:t>Tesamorelin</w:t>
      </w:r>
      <w:proofErr w:type="spellEnd"/>
      <w:r w:rsidRPr="00EB7C63">
        <w:rPr>
          <w:rFonts w:ascii="Poppins" w:eastAsia="Times New Roman" w:hAnsi="Poppins" w:cs="Poppins"/>
          <w:color w:val="000000"/>
          <w:kern w:val="0"/>
          <w:sz w:val="33"/>
          <w:szCs w:val="33"/>
          <w14:ligatures w14:val="none"/>
        </w:rPr>
        <w:t xml:space="preserve"> Research</w:t>
      </w:r>
    </w:p>
    <w:p w14:paraId="43CB6730" w14:textId="77777777" w:rsidR="00EB7C63" w:rsidRPr="00EB7C63" w:rsidRDefault="00EB7C63" w:rsidP="00EB7C6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TESAMORELIN AND GROWTH HORMONE DEFICIENCY, HIV</w:t>
      </w:r>
      <w:r w:rsidRPr="00EB7C63">
        <w:rPr>
          <w:rFonts w:ascii="Poppins" w:eastAsia="Times New Roman" w:hAnsi="Poppins" w:cs="Poppins"/>
          <w:color w:val="000000"/>
          <w:kern w:val="0"/>
          <w:sz w:val="21"/>
          <w:szCs w:val="21"/>
          <w14:ligatures w14:val="none"/>
        </w:rPr>
        <w:br/>
      </w:r>
      <w:r w:rsidRPr="00EB7C63">
        <w:rPr>
          <w:rFonts w:ascii="Poppins" w:eastAsia="Times New Roman" w:hAnsi="Poppins" w:cs="Poppins"/>
          <w:color w:val="000000"/>
          <w:kern w:val="0"/>
          <w:sz w:val="21"/>
          <w:szCs w:val="21"/>
          <w:highlight w:val="yellow"/>
          <w14:ligatures w14:val="none"/>
        </w:rPr>
        <w:t>Highly active antiretroviral therapy (HAART) may trigger endocrine and metabolic disorders, including growth hormone (GH) deficiency. In cases of HIV infection, the pituitary gland function may be altered, inducing a general growth hormone deficiency in one-third of research models used to study the impacts of HAART</w:t>
      </w:r>
      <w:r w:rsidRPr="00EB7C63">
        <w:rPr>
          <w:rFonts w:ascii="Poppins" w:eastAsia="Times New Roman" w:hAnsi="Poppins" w:cs="Poppins"/>
          <w:color w:val="000000"/>
          <w:kern w:val="0"/>
          <w:sz w:val="21"/>
          <w:szCs w:val="21"/>
          <w14:ligatures w14:val="none"/>
        </w:rPr>
        <w:t>.</w:t>
      </w:r>
      <w:r w:rsidRPr="00EB7C63">
        <w:rPr>
          <w:rFonts w:ascii="Poppins" w:eastAsia="Times New Roman" w:hAnsi="Poppins" w:cs="Poppins"/>
          <w:color w:val="000000"/>
          <w:kern w:val="0"/>
          <w:sz w:val="15"/>
          <w:szCs w:val="15"/>
          <w:bdr w:val="none" w:sz="0" w:space="0" w:color="auto" w:frame="1"/>
          <w:vertAlign w:val="superscript"/>
          <w14:ligatures w14:val="none"/>
        </w:rPr>
        <w:t>[1]</w:t>
      </w:r>
      <w:r w:rsidRPr="00EB7C63">
        <w:rPr>
          <w:rFonts w:ascii="Poppins" w:eastAsia="Times New Roman" w:hAnsi="Poppins" w:cs="Poppins"/>
          <w:color w:val="000000"/>
          <w:kern w:val="0"/>
          <w:sz w:val="21"/>
          <w:szCs w:val="21"/>
          <w14:ligatures w14:val="none"/>
        </w:rPr>
        <w:t> </w:t>
      </w: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has been employed in research to measure its potential impact in supplementing growth hormone deficiency by inducing natural hormone production.</w:t>
      </w:r>
    </w:p>
    <w:p w14:paraId="6D426C3C" w14:textId="77777777" w:rsidR="00EB7C63" w:rsidRPr="00EB7C63" w:rsidRDefault="00EB7C63" w:rsidP="00EB7C6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TESAMORELIN AND CARDIAC DISEASE</w:t>
      </w:r>
      <w:r w:rsidRPr="00EB7C63">
        <w:rPr>
          <w:rFonts w:ascii="Poppins" w:eastAsia="Times New Roman" w:hAnsi="Poppins" w:cs="Poppins"/>
          <w:color w:val="000000"/>
          <w:kern w:val="0"/>
          <w:sz w:val="21"/>
          <w:szCs w:val="21"/>
          <w14:ligatures w14:val="none"/>
        </w:rPr>
        <w:br/>
      </w:r>
      <w:r w:rsidRPr="00EB7C63">
        <w:rPr>
          <w:rFonts w:ascii="Poppins" w:eastAsia="Times New Roman" w:hAnsi="Poppins" w:cs="Poppins"/>
          <w:color w:val="000000"/>
          <w:kern w:val="0"/>
          <w:sz w:val="21"/>
          <w:szCs w:val="21"/>
          <w:highlight w:val="yellow"/>
          <w14:ligatures w14:val="none"/>
        </w:rPr>
        <w:t xml:space="preserve">Adiposity and antiretroviral compounds may introduce risk of developing cardiovascular disease (CVD). </w:t>
      </w:r>
      <w:proofErr w:type="spellStart"/>
      <w:r w:rsidRPr="00EB7C63">
        <w:rPr>
          <w:rFonts w:ascii="Poppins" w:eastAsia="Times New Roman" w:hAnsi="Poppins" w:cs="Poppins"/>
          <w:color w:val="000000"/>
          <w:kern w:val="0"/>
          <w:sz w:val="21"/>
          <w:szCs w:val="21"/>
          <w:highlight w:val="yellow"/>
          <w14:ligatures w14:val="none"/>
        </w:rPr>
        <w:t>Tesamorelin</w:t>
      </w:r>
      <w:proofErr w:type="spellEnd"/>
      <w:r w:rsidRPr="00EB7C63">
        <w:rPr>
          <w:rFonts w:ascii="Poppins" w:eastAsia="Times New Roman" w:hAnsi="Poppins" w:cs="Poppins"/>
          <w:color w:val="000000"/>
          <w:kern w:val="0"/>
          <w:sz w:val="21"/>
          <w:szCs w:val="21"/>
          <w:highlight w:val="yellow"/>
          <w14:ligatures w14:val="none"/>
        </w:rPr>
        <w:t xml:space="preserve"> studies posit that the peptide may reduce lipodystrophy and triglyceride, total cholesterol, and non-HDL-C in research models of HIV.</w:t>
      </w:r>
      <w:r w:rsidRPr="00EB7C63">
        <w:rPr>
          <w:rFonts w:ascii="Poppins" w:eastAsia="Times New Roman" w:hAnsi="Poppins" w:cs="Poppins"/>
          <w:color w:val="000000"/>
          <w:kern w:val="0"/>
          <w:sz w:val="15"/>
          <w:szCs w:val="15"/>
          <w:highlight w:val="yellow"/>
          <w:bdr w:val="none" w:sz="0" w:space="0" w:color="auto" w:frame="1"/>
          <w:vertAlign w:val="superscript"/>
          <w14:ligatures w14:val="none"/>
        </w:rPr>
        <w:t>[2]</w:t>
      </w:r>
      <w:r w:rsidRPr="00EB7C63">
        <w:rPr>
          <w:rFonts w:ascii="Poppins" w:eastAsia="Times New Roman" w:hAnsi="Poppins" w:cs="Poppins"/>
          <w:color w:val="000000"/>
          <w:kern w:val="0"/>
          <w:sz w:val="21"/>
          <w:szCs w:val="21"/>
          <w:highlight w:val="yellow"/>
          <w14:ligatures w14:val="none"/>
        </w:rPr>
        <w:t> Ectopic fat deposition is involved in inflammation, which may increase the risk of CVD. Adipose tissue deposition in visceral organs, epicardium, and liver may also increase CVD risk. The peptide may potentially decrease inflammatory response through the control of excess adiposity.</w:t>
      </w:r>
      <w:r w:rsidRPr="00EB7C63">
        <w:rPr>
          <w:rFonts w:ascii="Poppins" w:eastAsia="Times New Roman" w:hAnsi="Poppins" w:cs="Poppins"/>
          <w:color w:val="000000"/>
          <w:kern w:val="0"/>
          <w:sz w:val="15"/>
          <w:szCs w:val="15"/>
          <w:highlight w:val="yellow"/>
          <w:bdr w:val="none" w:sz="0" w:space="0" w:color="auto" w:frame="1"/>
          <w:vertAlign w:val="superscript"/>
          <w14:ligatures w14:val="none"/>
        </w:rPr>
        <w:t>[3</w:t>
      </w:r>
      <w:r w:rsidRPr="00EB7C63">
        <w:rPr>
          <w:rFonts w:ascii="Poppins" w:eastAsia="Times New Roman" w:hAnsi="Poppins" w:cs="Poppins"/>
          <w:color w:val="000000"/>
          <w:kern w:val="0"/>
          <w:sz w:val="15"/>
          <w:szCs w:val="15"/>
          <w:bdr w:val="none" w:sz="0" w:space="0" w:color="auto" w:frame="1"/>
          <w:vertAlign w:val="superscript"/>
          <w14:ligatures w14:val="none"/>
        </w:rPr>
        <w:t>]</w:t>
      </w:r>
      <w:r w:rsidRPr="00EB7C63">
        <w:rPr>
          <w:rFonts w:ascii="Poppins" w:eastAsia="Times New Roman" w:hAnsi="Poppins" w:cs="Poppins"/>
          <w:color w:val="000000"/>
          <w:kern w:val="0"/>
          <w:sz w:val="21"/>
          <w:szCs w:val="21"/>
          <w14:ligatures w14:val="none"/>
        </w:rPr>
        <w:t> The researchers note that </w:t>
      </w:r>
      <w:r w:rsidRPr="00EB7C63">
        <w:rPr>
          <w:rFonts w:ascii="Poppins" w:eastAsia="Times New Roman" w:hAnsi="Poppins" w:cs="Poppins"/>
          <w:i/>
          <w:iCs/>
          <w:color w:val="000000"/>
          <w:kern w:val="0"/>
          <w:sz w:val="21"/>
          <w:szCs w:val="21"/>
          <w:bdr w:val="none" w:sz="0" w:space="0" w:color="auto" w:frame="1"/>
          <w14:ligatures w14:val="none"/>
        </w:rPr>
        <w:t xml:space="preserve">“[HIV cases] receiving </w:t>
      </w:r>
      <w:proofErr w:type="spellStart"/>
      <w:r w:rsidRPr="00EB7C63">
        <w:rPr>
          <w:rFonts w:ascii="Poppins" w:eastAsia="Times New Roman" w:hAnsi="Poppins" w:cs="Poppins"/>
          <w:i/>
          <w:iCs/>
          <w:color w:val="000000"/>
          <w:kern w:val="0"/>
          <w:sz w:val="21"/>
          <w:szCs w:val="21"/>
          <w:bdr w:val="none" w:sz="0" w:space="0" w:color="auto" w:frame="1"/>
          <w14:ligatures w14:val="none"/>
        </w:rPr>
        <w:t>tesamorelin</w:t>
      </w:r>
      <w:proofErr w:type="spellEnd"/>
      <w:r w:rsidRPr="00EB7C63">
        <w:rPr>
          <w:rFonts w:ascii="Poppins" w:eastAsia="Times New Roman" w:hAnsi="Poppins" w:cs="Poppins"/>
          <w:i/>
          <w:iCs/>
          <w:color w:val="000000"/>
          <w:kern w:val="0"/>
          <w:sz w:val="21"/>
          <w:szCs w:val="21"/>
          <w:bdr w:val="none" w:sz="0" w:space="0" w:color="auto" w:frame="1"/>
          <w14:ligatures w14:val="none"/>
        </w:rPr>
        <w:t xml:space="preserve"> with </w:t>
      </w:r>
      <w:r w:rsidRPr="00EB7C63">
        <w:rPr>
          <w:rFonts w:ascii="Times New Roman" w:eastAsia="Times New Roman" w:hAnsi="Times New Roman" w:cs="Times New Roman"/>
          <w:i/>
          <w:iCs/>
          <w:color w:val="000000"/>
          <w:kern w:val="0"/>
          <w:sz w:val="21"/>
          <w:szCs w:val="21"/>
          <w:bdr w:val="none" w:sz="0" w:space="0" w:color="auto" w:frame="1"/>
          <w14:ligatures w14:val="none"/>
        </w:rPr>
        <w:t>≥</w:t>
      </w:r>
      <w:r w:rsidRPr="00EB7C63">
        <w:rPr>
          <w:rFonts w:ascii="Poppins" w:eastAsia="Times New Roman" w:hAnsi="Poppins" w:cs="Poppins"/>
          <w:i/>
          <w:iCs/>
          <w:color w:val="000000"/>
          <w:kern w:val="0"/>
          <w:sz w:val="21"/>
          <w:szCs w:val="21"/>
          <w:bdr w:val="none" w:sz="0" w:space="0" w:color="auto" w:frame="1"/>
          <w14:ligatures w14:val="none"/>
        </w:rPr>
        <w:t>8% reduction in VAT have significantly improved triglyceride levels, adiponectin levels, and preservation of glucose homeostasis over 52 weeks.”</w:t>
      </w:r>
    </w:p>
    <w:p w14:paraId="283F24CC" w14:textId="77777777" w:rsidR="00EB7C63" w:rsidRPr="00EB7C63" w:rsidRDefault="00EB7C63" w:rsidP="00EB7C6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TESAMORELIN AND LYPODYSTROPHY</w:t>
      </w:r>
      <w:r w:rsidRPr="00EB7C63">
        <w:rPr>
          <w:rFonts w:ascii="Poppins" w:eastAsia="Times New Roman" w:hAnsi="Poppins" w:cs="Poppins"/>
          <w:color w:val="000000"/>
          <w:kern w:val="0"/>
          <w:sz w:val="21"/>
          <w:szCs w:val="21"/>
          <w14:ligatures w14:val="none"/>
        </w:rPr>
        <w:br/>
      </w: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is principally researched within the context of HIV-associated lipodystrophy, which </w:t>
      </w:r>
      <w:proofErr w:type="gramStart"/>
      <w:r w:rsidRPr="00EB7C63">
        <w:rPr>
          <w:rFonts w:ascii="Poppins" w:eastAsia="Times New Roman" w:hAnsi="Poppins" w:cs="Poppins"/>
          <w:color w:val="000000"/>
          <w:kern w:val="0"/>
          <w:sz w:val="21"/>
          <w:szCs w:val="21"/>
          <w14:ligatures w14:val="none"/>
        </w:rPr>
        <w:t>is considered to be</w:t>
      </w:r>
      <w:proofErr w:type="gramEnd"/>
      <w:r w:rsidRPr="00EB7C63">
        <w:rPr>
          <w:rFonts w:ascii="Poppins" w:eastAsia="Times New Roman" w:hAnsi="Poppins" w:cs="Poppins"/>
          <w:color w:val="000000"/>
          <w:kern w:val="0"/>
          <w:sz w:val="21"/>
          <w:szCs w:val="21"/>
          <w14:ligatures w14:val="none"/>
        </w:rPr>
        <w:t xml:space="preserve"> caused by viral infection and possible adverse consequences of certain antiretroviral procedures. The peptide appeared to reduce adiposity by up to </w:t>
      </w:r>
      <w:r w:rsidRPr="00EB7C63">
        <w:rPr>
          <w:rFonts w:ascii="Poppins" w:eastAsia="Times New Roman" w:hAnsi="Poppins" w:cs="Poppins"/>
          <w:color w:val="000000"/>
          <w:kern w:val="0"/>
          <w:sz w:val="21"/>
          <w:szCs w:val="21"/>
          <w14:ligatures w14:val="none"/>
        </w:rPr>
        <w:lastRenderedPageBreak/>
        <w:t>20% in research models in one study.</w:t>
      </w:r>
      <w:r w:rsidRPr="00EB7C63">
        <w:rPr>
          <w:rFonts w:ascii="Poppins" w:eastAsia="Times New Roman" w:hAnsi="Poppins" w:cs="Poppins"/>
          <w:color w:val="000000"/>
          <w:kern w:val="0"/>
          <w:sz w:val="15"/>
          <w:szCs w:val="15"/>
          <w:bdr w:val="none" w:sz="0" w:space="0" w:color="auto" w:frame="1"/>
          <w:vertAlign w:val="superscript"/>
          <w14:ligatures w14:val="none"/>
        </w:rPr>
        <w:t>[4]</w:t>
      </w:r>
      <w:r w:rsidRPr="00EB7C63">
        <w:rPr>
          <w:rFonts w:ascii="Poppins" w:eastAsia="Times New Roman" w:hAnsi="Poppins" w:cs="Poppins"/>
          <w:color w:val="000000"/>
          <w:kern w:val="0"/>
          <w:sz w:val="21"/>
          <w:szCs w:val="21"/>
          <w14:ligatures w14:val="none"/>
        </w:rPr>
        <w:t> The researchers noted that </w:t>
      </w:r>
      <w:r w:rsidRPr="00EB7C63">
        <w:rPr>
          <w:rFonts w:ascii="Poppins" w:eastAsia="Times New Roman" w:hAnsi="Poppins" w:cs="Poppins"/>
          <w:i/>
          <w:iCs/>
          <w:color w:val="000000"/>
          <w:kern w:val="0"/>
          <w:sz w:val="21"/>
          <w:szCs w:val="21"/>
          <w:bdr w:val="none" w:sz="0" w:space="0" w:color="auto" w:frame="1"/>
          <w14:ligatures w14:val="none"/>
        </w:rPr>
        <w:t xml:space="preserve">“The odds of response of VAT ‹140 cm2 was 3.9 times greater for </w:t>
      </w:r>
      <w:proofErr w:type="spellStart"/>
      <w:r w:rsidRPr="00EB7C63">
        <w:rPr>
          <w:rFonts w:ascii="Poppins" w:eastAsia="Times New Roman" w:hAnsi="Poppins" w:cs="Poppins"/>
          <w:i/>
          <w:iCs/>
          <w:color w:val="000000"/>
          <w:kern w:val="0"/>
          <w:sz w:val="21"/>
          <w:szCs w:val="21"/>
          <w:bdr w:val="none" w:sz="0" w:space="0" w:color="auto" w:frame="1"/>
          <w14:ligatures w14:val="none"/>
        </w:rPr>
        <w:t>tesamorelin</w:t>
      </w:r>
      <w:proofErr w:type="spellEnd"/>
      <w:r w:rsidRPr="00EB7C63">
        <w:rPr>
          <w:rFonts w:ascii="Poppins" w:eastAsia="Times New Roman" w:hAnsi="Poppins" w:cs="Poppins"/>
          <w:i/>
          <w:iCs/>
          <w:color w:val="000000"/>
          <w:kern w:val="0"/>
          <w:sz w:val="21"/>
          <w:szCs w:val="21"/>
          <w:bdr w:val="none" w:sz="0" w:space="0" w:color="auto" w:frame="1"/>
          <w14:ligatures w14:val="none"/>
        </w:rPr>
        <w:t>-treated [cases] than … placebo.”</w:t>
      </w:r>
    </w:p>
    <w:p w14:paraId="19736846" w14:textId="77777777" w:rsidR="00EB7C63" w:rsidRPr="00EB7C63" w:rsidRDefault="00EB7C63" w:rsidP="00EB7C6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TESAMORELIN AND PERIPHERAL NERVE DAMAGE</w:t>
      </w:r>
      <w:r w:rsidRPr="00EB7C63">
        <w:rPr>
          <w:rFonts w:ascii="Poppins" w:eastAsia="Times New Roman" w:hAnsi="Poppins" w:cs="Poppins"/>
          <w:color w:val="000000"/>
          <w:kern w:val="0"/>
          <w:sz w:val="21"/>
          <w:szCs w:val="21"/>
          <w14:ligatures w14:val="none"/>
        </w:rPr>
        <w:br/>
        <w:t xml:space="preserve">Peripheral nerve damage may potentially trigger debilitating motor and sensory challenges. Research in intervention of such damage is limited, as nerve cells present a challenge to regenerate. </w:t>
      </w:r>
      <w:r w:rsidRPr="00EB7C63">
        <w:rPr>
          <w:rFonts w:ascii="Poppins" w:eastAsia="Times New Roman" w:hAnsi="Poppins" w:cs="Poppins"/>
          <w:color w:val="000000"/>
          <w:kern w:val="0"/>
          <w:sz w:val="21"/>
          <w:szCs w:val="21"/>
          <w:highlight w:val="yellow"/>
          <w14:ligatures w14:val="none"/>
        </w:rPr>
        <w:t>Studies suggest that growth hormone manipulation might improve peripheral nerve injury and increase both rate and extent of repair.</w:t>
      </w:r>
      <w:r w:rsidRPr="00EB7C63">
        <w:rPr>
          <w:rFonts w:ascii="Poppins" w:eastAsia="Times New Roman" w:hAnsi="Poppins" w:cs="Poppins"/>
          <w:color w:val="000000"/>
          <w:kern w:val="0"/>
          <w:sz w:val="15"/>
          <w:szCs w:val="15"/>
          <w:highlight w:val="yellow"/>
          <w:bdr w:val="none" w:sz="0" w:space="0" w:color="auto" w:frame="1"/>
          <w:vertAlign w:val="superscript"/>
          <w14:ligatures w14:val="none"/>
        </w:rPr>
        <w:t>[</w:t>
      </w:r>
      <w:r w:rsidRPr="00EB7C63">
        <w:rPr>
          <w:rFonts w:ascii="Poppins" w:eastAsia="Times New Roman" w:hAnsi="Poppins" w:cs="Poppins"/>
          <w:color w:val="000000"/>
          <w:kern w:val="0"/>
          <w:sz w:val="15"/>
          <w:szCs w:val="15"/>
          <w:bdr w:val="none" w:sz="0" w:space="0" w:color="auto" w:frame="1"/>
          <w:vertAlign w:val="superscript"/>
          <w14:ligatures w14:val="none"/>
        </w:rPr>
        <w:t>5]</w:t>
      </w:r>
      <w:r w:rsidRPr="00EB7C63">
        <w:rPr>
          <w:rFonts w:ascii="Poppins" w:eastAsia="Times New Roman" w:hAnsi="Poppins" w:cs="Poppins"/>
          <w:color w:val="000000"/>
          <w:kern w:val="0"/>
          <w:sz w:val="21"/>
          <w:szCs w:val="21"/>
          <w14:ligatures w14:val="none"/>
        </w:rPr>
        <w:t> </w:t>
      </w: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is being actively researched in this area for its potential for inducing growth hormone release.</w:t>
      </w:r>
    </w:p>
    <w:p w14:paraId="7B7407D0" w14:textId="77777777" w:rsidR="00EB7C63" w:rsidRPr="00EB7C63" w:rsidRDefault="00EB7C63" w:rsidP="00EB7C6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b/>
          <w:bCs/>
          <w:caps/>
          <w:color w:val="0E66AF"/>
          <w:kern w:val="0"/>
          <w:sz w:val="20"/>
          <w:szCs w:val="20"/>
          <w:bdr w:val="none" w:sz="0" w:space="0" w:color="auto" w:frame="1"/>
          <w14:ligatures w14:val="none"/>
        </w:rPr>
        <w:t>TESAMORELIN AND NEURODEGENERATIVE ISSUES</w:t>
      </w:r>
      <w:r w:rsidRPr="00EB7C63">
        <w:rPr>
          <w:rFonts w:ascii="Poppins" w:eastAsia="Times New Roman" w:hAnsi="Poppins" w:cs="Poppins"/>
          <w:color w:val="000000"/>
          <w:kern w:val="0"/>
          <w:sz w:val="21"/>
          <w:szCs w:val="21"/>
          <w14:ligatures w14:val="none"/>
        </w:rPr>
        <w:br/>
      </w:r>
      <w:r w:rsidRPr="00EB7C63">
        <w:rPr>
          <w:rFonts w:ascii="Poppins" w:eastAsia="Times New Roman" w:hAnsi="Poppins" w:cs="Poppins"/>
          <w:color w:val="000000"/>
          <w:kern w:val="0"/>
          <w:sz w:val="21"/>
          <w:szCs w:val="21"/>
          <w:highlight w:val="yellow"/>
          <w14:ligatures w14:val="none"/>
        </w:rPr>
        <w:t xml:space="preserve">GHRH analogs, including </w:t>
      </w:r>
      <w:proofErr w:type="spellStart"/>
      <w:r w:rsidRPr="00EB7C63">
        <w:rPr>
          <w:rFonts w:ascii="Poppins" w:eastAsia="Times New Roman" w:hAnsi="Poppins" w:cs="Poppins"/>
          <w:color w:val="000000"/>
          <w:kern w:val="0"/>
          <w:sz w:val="21"/>
          <w:szCs w:val="21"/>
          <w:highlight w:val="yellow"/>
          <w14:ligatures w14:val="none"/>
        </w:rPr>
        <w:t>Tesamorelin</w:t>
      </w:r>
      <w:proofErr w:type="spellEnd"/>
      <w:r w:rsidRPr="00EB7C63">
        <w:rPr>
          <w:rFonts w:ascii="Poppins" w:eastAsia="Times New Roman" w:hAnsi="Poppins" w:cs="Poppins"/>
          <w:color w:val="000000"/>
          <w:kern w:val="0"/>
          <w:sz w:val="21"/>
          <w:szCs w:val="21"/>
          <w:highlight w:val="yellow"/>
          <w14:ligatures w14:val="none"/>
        </w:rPr>
        <w:t>, have been researched for their potential to improve cognitive ability in research models of dementia.</w:t>
      </w:r>
      <w:r w:rsidRPr="00EB7C63">
        <w:rPr>
          <w:rFonts w:ascii="Poppins" w:eastAsia="Times New Roman" w:hAnsi="Poppins" w:cs="Poppins"/>
          <w:color w:val="000000"/>
          <w:kern w:val="0"/>
          <w:sz w:val="21"/>
          <w:szCs w:val="21"/>
          <w14:ligatures w14:val="none"/>
        </w:rPr>
        <w:t xml:space="preserve"> A randomized, double-blind, placebo-controlled study was conducted with a large cohort over a period of 20 weeks at The University of Washington School of Medicine. The study observed that </w:t>
      </w: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and other GHRH analogs may influence dementia by increasing gamma-aminobutyric acid (GABA) in the brain and decreasing myo-</w:t>
      </w:r>
      <w:proofErr w:type="spellStart"/>
      <w:r w:rsidRPr="00EB7C63">
        <w:rPr>
          <w:rFonts w:ascii="Poppins" w:eastAsia="Times New Roman" w:hAnsi="Poppins" w:cs="Poppins"/>
          <w:color w:val="000000"/>
          <w:kern w:val="0"/>
          <w:sz w:val="21"/>
          <w:szCs w:val="21"/>
          <w14:ligatures w14:val="none"/>
        </w:rPr>
        <w:t>insoitol</w:t>
      </w:r>
      <w:proofErr w:type="spellEnd"/>
      <w:r w:rsidRPr="00EB7C63">
        <w:rPr>
          <w:rFonts w:ascii="Poppins" w:eastAsia="Times New Roman" w:hAnsi="Poppins" w:cs="Poppins"/>
          <w:color w:val="000000"/>
          <w:kern w:val="0"/>
          <w:sz w:val="21"/>
          <w:szCs w:val="21"/>
          <w14:ligatures w14:val="none"/>
        </w:rPr>
        <w:t xml:space="preserve"> (MI).</w:t>
      </w:r>
      <w:r w:rsidRPr="00EB7C63">
        <w:rPr>
          <w:rFonts w:ascii="Poppins" w:eastAsia="Times New Roman" w:hAnsi="Poppins" w:cs="Poppins"/>
          <w:color w:val="000000"/>
          <w:kern w:val="0"/>
          <w:sz w:val="15"/>
          <w:szCs w:val="15"/>
          <w:bdr w:val="none" w:sz="0" w:space="0" w:color="auto" w:frame="1"/>
          <w:vertAlign w:val="superscript"/>
          <w14:ligatures w14:val="none"/>
        </w:rPr>
        <w:t>[6]</w:t>
      </w:r>
      <w:r w:rsidRPr="00EB7C63">
        <w:rPr>
          <w:rFonts w:ascii="Poppins" w:eastAsia="Times New Roman" w:hAnsi="Poppins" w:cs="Poppins"/>
          <w:color w:val="000000"/>
          <w:kern w:val="0"/>
          <w:sz w:val="21"/>
          <w:szCs w:val="21"/>
          <w14:ligatures w14:val="none"/>
        </w:rPr>
        <w:t xml:space="preserve"> These findings suggest greater avenues of potential for </w:t>
      </w:r>
      <w:proofErr w:type="spellStart"/>
      <w:r w:rsidRPr="00EB7C63">
        <w:rPr>
          <w:rFonts w:ascii="Poppins" w:eastAsia="Times New Roman" w:hAnsi="Poppins" w:cs="Poppins"/>
          <w:color w:val="000000"/>
          <w:kern w:val="0"/>
          <w:sz w:val="21"/>
          <w:szCs w:val="21"/>
          <w14:ligatures w14:val="none"/>
        </w:rPr>
        <w:t>Tesamorelin</w:t>
      </w:r>
      <w:proofErr w:type="spellEnd"/>
      <w:r w:rsidRPr="00EB7C63">
        <w:rPr>
          <w:rFonts w:ascii="Poppins" w:eastAsia="Times New Roman" w:hAnsi="Poppins" w:cs="Poppins"/>
          <w:color w:val="000000"/>
          <w:kern w:val="0"/>
          <w:sz w:val="21"/>
          <w:szCs w:val="21"/>
          <w14:ligatures w14:val="none"/>
        </w:rPr>
        <w:t xml:space="preserve"> research.</w:t>
      </w:r>
    </w:p>
    <w:p w14:paraId="587A9359" w14:textId="77777777" w:rsidR="00EB7C63" w:rsidRPr="00EB7C63" w:rsidRDefault="00EB7C63" w:rsidP="00EB7C63">
      <w:pPr>
        <w:shd w:val="clear" w:color="auto" w:fill="F7F7F7"/>
        <w:spacing w:after="0" w:line="240" w:lineRule="auto"/>
        <w:textAlignment w:val="baseline"/>
        <w:rPr>
          <w:rFonts w:ascii="Poppins" w:eastAsia="Times New Roman" w:hAnsi="Poppins" w:cs="Poppins"/>
          <w:color w:val="000000"/>
          <w:kern w:val="0"/>
          <w:sz w:val="21"/>
          <w:szCs w:val="21"/>
          <w14:ligatures w14:val="none"/>
        </w:rPr>
      </w:pPr>
      <w:r w:rsidRPr="00EB7C63">
        <w:rPr>
          <w:rFonts w:ascii="Poppins" w:eastAsia="Times New Roman" w:hAnsi="Poppins" w:cs="Poppins"/>
          <w:color w:val="000000"/>
          <w:kern w:val="0"/>
          <w:sz w:val="21"/>
          <w:szCs w:val="21"/>
          <w14:ligatures w14:val="none"/>
        </w:rPr>
        <w:t> </w:t>
      </w:r>
    </w:p>
    <w:p w14:paraId="7173905A" w14:textId="77777777" w:rsidR="00EB7C63" w:rsidRPr="00EB7C63" w:rsidRDefault="00EB7C63" w:rsidP="00EB7C63">
      <w:pPr>
        <w:shd w:val="clear" w:color="auto" w:fill="F7F7F7"/>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EB7C63">
        <w:rPr>
          <w:rFonts w:ascii="Poppins" w:eastAsia="Times New Roman" w:hAnsi="Poppins" w:cs="Poppins"/>
          <w:color w:val="555555"/>
          <w:kern w:val="0"/>
          <w:sz w:val="33"/>
          <w:szCs w:val="33"/>
          <w14:ligatures w14:val="none"/>
        </w:rPr>
        <w:t>References</w:t>
      </w:r>
    </w:p>
    <w:p w14:paraId="7975B06C" w14:textId="77777777" w:rsidR="00EB7C63" w:rsidRPr="00EB7C63" w:rsidRDefault="00EB7C63" w:rsidP="00EB7C6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EB7C63">
        <w:rPr>
          <w:rFonts w:ascii="Poppins" w:eastAsia="Times New Roman" w:hAnsi="Poppins" w:cs="Poppins"/>
          <w:color w:val="555555"/>
          <w:kern w:val="0"/>
          <w:sz w:val="21"/>
          <w:szCs w:val="21"/>
          <w14:ligatures w14:val="none"/>
        </w:rPr>
        <w:t>Rochira, V., &amp; Guaraldi, G. (2017). Growth hormone deficiency and human immunodeficiency virus. Best practice &amp; research. Clinical endocrinology &amp; metabolism, 31(1), 91–111. </w:t>
      </w:r>
      <w:hyperlink r:id="rId5" w:tgtFrame="_blank" w:history="1">
        <w:proofErr w:type="gramStart"/>
        <w:r w:rsidRPr="00EB7C63">
          <w:rPr>
            <w:rFonts w:ascii="Poppins" w:eastAsia="Times New Roman" w:hAnsi="Poppins" w:cs="Poppins"/>
            <w:color w:val="0E66AF"/>
            <w:kern w:val="0"/>
            <w:sz w:val="21"/>
            <w:szCs w:val="21"/>
            <w:u w:val="single"/>
            <w:bdr w:val="none" w:sz="0" w:space="0" w:color="auto" w:frame="1"/>
            <w14:ligatures w14:val="none"/>
          </w:rPr>
          <w:t>doi:10.1016/j.beem</w:t>
        </w:r>
        <w:proofErr w:type="gramEnd"/>
        <w:r w:rsidRPr="00EB7C63">
          <w:rPr>
            <w:rFonts w:ascii="Poppins" w:eastAsia="Times New Roman" w:hAnsi="Poppins" w:cs="Poppins"/>
            <w:color w:val="0E66AF"/>
            <w:kern w:val="0"/>
            <w:sz w:val="21"/>
            <w:szCs w:val="21"/>
            <w:u w:val="single"/>
            <w:bdr w:val="none" w:sz="0" w:space="0" w:color="auto" w:frame="1"/>
            <w14:ligatures w14:val="none"/>
          </w:rPr>
          <w:t>.2017.02.006</w:t>
        </w:r>
      </w:hyperlink>
      <w:r w:rsidRPr="00EB7C63">
        <w:rPr>
          <w:rFonts w:ascii="Poppins" w:eastAsia="Times New Roman" w:hAnsi="Poppins" w:cs="Poppins"/>
          <w:color w:val="555555"/>
          <w:kern w:val="0"/>
          <w:sz w:val="21"/>
          <w:szCs w:val="21"/>
          <w14:ligatures w14:val="none"/>
        </w:rPr>
        <w:t>.</w:t>
      </w:r>
    </w:p>
    <w:p w14:paraId="32FE1672" w14:textId="77777777" w:rsidR="00EB7C63" w:rsidRPr="00EB7C63" w:rsidRDefault="00EB7C63" w:rsidP="00EB7C6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EB7C63">
        <w:rPr>
          <w:rFonts w:ascii="Poppins" w:eastAsia="Times New Roman" w:hAnsi="Poppins" w:cs="Poppins"/>
          <w:color w:val="555555"/>
          <w:kern w:val="0"/>
          <w:sz w:val="21"/>
          <w:szCs w:val="21"/>
          <w14:ligatures w14:val="none"/>
        </w:rPr>
        <w:t>Falutz</w:t>
      </w:r>
      <w:proofErr w:type="spellEnd"/>
      <w:r w:rsidRPr="00EB7C63">
        <w:rPr>
          <w:rFonts w:ascii="Poppins" w:eastAsia="Times New Roman" w:hAnsi="Poppins" w:cs="Poppins"/>
          <w:color w:val="555555"/>
          <w:kern w:val="0"/>
          <w:sz w:val="21"/>
          <w:szCs w:val="21"/>
          <w14:ligatures w14:val="none"/>
        </w:rPr>
        <w:t>, J., Allas, S., Blot, K., Potvin, D., Kotler, D., Somero, M., Berger, D., Brown, S., Richmond, G., Fessel, J., Turner, R., &amp; Grinspoon, S. (2007). Metabolic effects of a growth hormone-releasing factor in patients with HIV. The New England journal of medicine, 357(23), 2359–2370. </w:t>
      </w:r>
      <w:hyperlink r:id="rId6" w:tgtFrame="_blank" w:history="1">
        <w:r w:rsidRPr="00EB7C63">
          <w:rPr>
            <w:rFonts w:ascii="Poppins" w:eastAsia="Times New Roman" w:hAnsi="Poppins" w:cs="Poppins"/>
            <w:color w:val="0E66AF"/>
            <w:kern w:val="0"/>
            <w:sz w:val="21"/>
            <w:szCs w:val="21"/>
            <w:u w:val="single"/>
            <w:bdr w:val="none" w:sz="0" w:space="0" w:color="auto" w:frame="1"/>
            <w14:ligatures w14:val="none"/>
          </w:rPr>
          <w:t>doi:10.1056/NEJMoa072375</w:t>
        </w:r>
      </w:hyperlink>
      <w:r w:rsidRPr="00EB7C63">
        <w:rPr>
          <w:rFonts w:ascii="Poppins" w:eastAsia="Times New Roman" w:hAnsi="Poppins" w:cs="Poppins"/>
          <w:color w:val="555555"/>
          <w:kern w:val="0"/>
          <w:sz w:val="21"/>
          <w:szCs w:val="21"/>
          <w14:ligatures w14:val="none"/>
        </w:rPr>
        <w:t>.</w:t>
      </w:r>
    </w:p>
    <w:p w14:paraId="58AFECF4" w14:textId="77777777" w:rsidR="00EB7C63" w:rsidRPr="00EB7C63" w:rsidRDefault="00EB7C63" w:rsidP="00EB7C6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EB7C63">
        <w:rPr>
          <w:rFonts w:ascii="Poppins" w:eastAsia="Times New Roman" w:hAnsi="Poppins" w:cs="Poppins"/>
          <w:color w:val="555555"/>
          <w:kern w:val="0"/>
          <w:sz w:val="21"/>
          <w:szCs w:val="21"/>
          <w14:ligatures w14:val="none"/>
        </w:rPr>
        <w:t xml:space="preserve">Stanley, T. L., </w:t>
      </w:r>
      <w:proofErr w:type="spellStart"/>
      <w:r w:rsidRPr="00EB7C63">
        <w:rPr>
          <w:rFonts w:ascii="Poppins" w:eastAsia="Times New Roman" w:hAnsi="Poppins" w:cs="Poppins"/>
          <w:color w:val="555555"/>
          <w:kern w:val="0"/>
          <w:sz w:val="21"/>
          <w:szCs w:val="21"/>
          <w14:ligatures w14:val="none"/>
        </w:rPr>
        <w:t>Falutz</w:t>
      </w:r>
      <w:proofErr w:type="spellEnd"/>
      <w:r w:rsidRPr="00EB7C63">
        <w:rPr>
          <w:rFonts w:ascii="Poppins" w:eastAsia="Times New Roman" w:hAnsi="Poppins" w:cs="Poppins"/>
          <w:color w:val="555555"/>
          <w:kern w:val="0"/>
          <w:sz w:val="21"/>
          <w:szCs w:val="21"/>
          <w14:ligatures w14:val="none"/>
        </w:rPr>
        <w:t xml:space="preserve">, J., Marsolais, C., Morin, J., </w:t>
      </w:r>
      <w:proofErr w:type="spellStart"/>
      <w:r w:rsidRPr="00EB7C63">
        <w:rPr>
          <w:rFonts w:ascii="Poppins" w:eastAsia="Times New Roman" w:hAnsi="Poppins" w:cs="Poppins"/>
          <w:color w:val="555555"/>
          <w:kern w:val="0"/>
          <w:sz w:val="21"/>
          <w:szCs w:val="21"/>
          <w14:ligatures w14:val="none"/>
        </w:rPr>
        <w:t>Soulban</w:t>
      </w:r>
      <w:proofErr w:type="spellEnd"/>
      <w:r w:rsidRPr="00EB7C63">
        <w:rPr>
          <w:rFonts w:ascii="Poppins" w:eastAsia="Times New Roman" w:hAnsi="Poppins" w:cs="Poppins"/>
          <w:color w:val="555555"/>
          <w:kern w:val="0"/>
          <w:sz w:val="21"/>
          <w:szCs w:val="21"/>
          <w14:ligatures w14:val="none"/>
        </w:rPr>
        <w:t xml:space="preserve">, G., </w:t>
      </w:r>
      <w:proofErr w:type="spellStart"/>
      <w:r w:rsidRPr="00EB7C63">
        <w:rPr>
          <w:rFonts w:ascii="Poppins" w:eastAsia="Times New Roman" w:hAnsi="Poppins" w:cs="Poppins"/>
          <w:color w:val="555555"/>
          <w:kern w:val="0"/>
          <w:sz w:val="21"/>
          <w:szCs w:val="21"/>
          <w14:ligatures w14:val="none"/>
        </w:rPr>
        <w:t>Mamputu</w:t>
      </w:r>
      <w:proofErr w:type="spellEnd"/>
      <w:r w:rsidRPr="00EB7C63">
        <w:rPr>
          <w:rFonts w:ascii="Poppins" w:eastAsia="Times New Roman" w:hAnsi="Poppins" w:cs="Poppins"/>
          <w:color w:val="555555"/>
          <w:kern w:val="0"/>
          <w:sz w:val="21"/>
          <w:szCs w:val="21"/>
          <w14:ligatures w14:val="none"/>
        </w:rPr>
        <w:t xml:space="preserve">, J. C., Assaad, H., Turner, R., &amp; Grinspoon, S. K. (2012). Reduction in visceral adiposity is associated with an improved metabolic profile in HIV-infected patients receiving </w:t>
      </w:r>
      <w:proofErr w:type="spellStart"/>
      <w:r w:rsidRPr="00EB7C63">
        <w:rPr>
          <w:rFonts w:ascii="Poppins" w:eastAsia="Times New Roman" w:hAnsi="Poppins" w:cs="Poppins"/>
          <w:color w:val="555555"/>
          <w:kern w:val="0"/>
          <w:sz w:val="21"/>
          <w:szCs w:val="21"/>
          <w14:ligatures w14:val="none"/>
        </w:rPr>
        <w:t>tesamorelin</w:t>
      </w:r>
      <w:proofErr w:type="spellEnd"/>
      <w:r w:rsidRPr="00EB7C63">
        <w:rPr>
          <w:rFonts w:ascii="Poppins" w:eastAsia="Times New Roman" w:hAnsi="Poppins" w:cs="Poppins"/>
          <w:color w:val="555555"/>
          <w:kern w:val="0"/>
          <w:sz w:val="21"/>
          <w:szCs w:val="21"/>
          <w14:ligatures w14:val="none"/>
        </w:rPr>
        <w:t xml:space="preserve">. Clinical infectious </w:t>
      </w:r>
      <w:proofErr w:type="gramStart"/>
      <w:r w:rsidRPr="00EB7C63">
        <w:rPr>
          <w:rFonts w:ascii="Poppins" w:eastAsia="Times New Roman" w:hAnsi="Poppins" w:cs="Poppins"/>
          <w:color w:val="555555"/>
          <w:kern w:val="0"/>
          <w:sz w:val="21"/>
          <w:szCs w:val="21"/>
          <w14:ligatures w14:val="none"/>
        </w:rPr>
        <w:t>diseases :</w:t>
      </w:r>
      <w:proofErr w:type="gramEnd"/>
      <w:r w:rsidRPr="00EB7C63">
        <w:rPr>
          <w:rFonts w:ascii="Poppins" w:eastAsia="Times New Roman" w:hAnsi="Poppins" w:cs="Poppins"/>
          <w:color w:val="555555"/>
          <w:kern w:val="0"/>
          <w:sz w:val="21"/>
          <w:szCs w:val="21"/>
          <w14:ligatures w14:val="none"/>
        </w:rPr>
        <w:t xml:space="preserve"> an official publication of the Infectious Diseases Society of America, 54(11), 1642–1651. </w:t>
      </w:r>
      <w:hyperlink r:id="rId7" w:tgtFrame="_blank" w:history="1">
        <w:r w:rsidRPr="00EB7C63">
          <w:rPr>
            <w:rFonts w:ascii="Poppins" w:eastAsia="Times New Roman" w:hAnsi="Poppins" w:cs="Poppins"/>
            <w:color w:val="0E66AF"/>
            <w:kern w:val="0"/>
            <w:sz w:val="21"/>
            <w:szCs w:val="21"/>
            <w:u w:val="single"/>
            <w:bdr w:val="none" w:sz="0" w:space="0" w:color="auto" w:frame="1"/>
            <w14:ligatures w14:val="none"/>
          </w:rPr>
          <w:t>doi:10.1093/</w:t>
        </w:r>
        <w:proofErr w:type="spellStart"/>
        <w:r w:rsidRPr="00EB7C63">
          <w:rPr>
            <w:rFonts w:ascii="Poppins" w:eastAsia="Times New Roman" w:hAnsi="Poppins" w:cs="Poppins"/>
            <w:color w:val="0E66AF"/>
            <w:kern w:val="0"/>
            <w:sz w:val="21"/>
            <w:szCs w:val="21"/>
            <w:u w:val="single"/>
            <w:bdr w:val="none" w:sz="0" w:space="0" w:color="auto" w:frame="1"/>
            <w14:ligatures w14:val="none"/>
          </w:rPr>
          <w:t>cid</w:t>
        </w:r>
        <w:proofErr w:type="spellEnd"/>
        <w:r w:rsidRPr="00EB7C63">
          <w:rPr>
            <w:rFonts w:ascii="Poppins" w:eastAsia="Times New Roman" w:hAnsi="Poppins" w:cs="Poppins"/>
            <w:color w:val="0E66AF"/>
            <w:kern w:val="0"/>
            <w:sz w:val="21"/>
            <w:szCs w:val="21"/>
            <w:u w:val="single"/>
            <w:bdr w:val="none" w:sz="0" w:space="0" w:color="auto" w:frame="1"/>
            <w14:ligatures w14:val="none"/>
          </w:rPr>
          <w:t>/cis251</w:t>
        </w:r>
      </w:hyperlink>
      <w:r w:rsidRPr="00EB7C63">
        <w:rPr>
          <w:rFonts w:ascii="Poppins" w:eastAsia="Times New Roman" w:hAnsi="Poppins" w:cs="Poppins"/>
          <w:color w:val="555555"/>
          <w:kern w:val="0"/>
          <w:sz w:val="21"/>
          <w:szCs w:val="21"/>
          <w14:ligatures w14:val="none"/>
        </w:rPr>
        <w:t>.</w:t>
      </w:r>
    </w:p>
    <w:p w14:paraId="702228CD" w14:textId="77777777" w:rsidR="00EB7C63" w:rsidRPr="00EB7C63" w:rsidRDefault="00EB7C63" w:rsidP="00EB7C6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EB7C63">
        <w:rPr>
          <w:rFonts w:ascii="Poppins" w:eastAsia="Times New Roman" w:hAnsi="Poppins" w:cs="Poppins"/>
          <w:color w:val="555555"/>
          <w:kern w:val="0"/>
          <w:sz w:val="21"/>
          <w:szCs w:val="21"/>
          <w14:ligatures w14:val="none"/>
        </w:rPr>
        <w:t xml:space="preserve">Mangili, A., </w:t>
      </w:r>
      <w:proofErr w:type="spellStart"/>
      <w:r w:rsidRPr="00EB7C63">
        <w:rPr>
          <w:rFonts w:ascii="Poppins" w:eastAsia="Times New Roman" w:hAnsi="Poppins" w:cs="Poppins"/>
          <w:color w:val="555555"/>
          <w:kern w:val="0"/>
          <w:sz w:val="21"/>
          <w:szCs w:val="21"/>
          <w14:ligatures w14:val="none"/>
        </w:rPr>
        <w:t>Falutz</w:t>
      </w:r>
      <w:proofErr w:type="spellEnd"/>
      <w:r w:rsidRPr="00EB7C63">
        <w:rPr>
          <w:rFonts w:ascii="Poppins" w:eastAsia="Times New Roman" w:hAnsi="Poppins" w:cs="Poppins"/>
          <w:color w:val="555555"/>
          <w:kern w:val="0"/>
          <w:sz w:val="21"/>
          <w:szCs w:val="21"/>
          <w14:ligatures w14:val="none"/>
        </w:rPr>
        <w:t xml:space="preserve">, J., </w:t>
      </w:r>
      <w:proofErr w:type="spellStart"/>
      <w:r w:rsidRPr="00EB7C63">
        <w:rPr>
          <w:rFonts w:ascii="Poppins" w:eastAsia="Times New Roman" w:hAnsi="Poppins" w:cs="Poppins"/>
          <w:color w:val="555555"/>
          <w:kern w:val="0"/>
          <w:sz w:val="21"/>
          <w:szCs w:val="21"/>
          <w14:ligatures w14:val="none"/>
        </w:rPr>
        <w:t>Mamputu</w:t>
      </w:r>
      <w:proofErr w:type="spellEnd"/>
      <w:r w:rsidRPr="00EB7C63">
        <w:rPr>
          <w:rFonts w:ascii="Poppins" w:eastAsia="Times New Roman" w:hAnsi="Poppins" w:cs="Poppins"/>
          <w:color w:val="555555"/>
          <w:kern w:val="0"/>
          <w:sz w:val="21"/>
          <w:szCs w:val="21"/>
          <w14:ligatures w14:val="none"/>
        </w:rPr>
        <w:t xml:space="preserve">, J. C., </w:t>
      </w:r>
      <w:proofErr w:type="spellStart"/>
      <w:r w:rsidRPr="00EB7C63">
        <w:rPr>
          <w:rFonts w:ascii="Poppins" w:eastAsia="Times New Roman" w:hAnsi="Poppins" w:cs="Poppins"/>
          <w:color w:val="555555"/>
          <w:kern w:val="0"/>
          <w:sz w:val="21"/>
          <w:szCs w:val="21"/>
          <w14:ligatures w14:val="none"/>
        </w:rPr>
        <w:t>Stepanians</w:t>
      </w:r>
      <w:proofErr w:type="spellEnd"/>
      <w:r w:rsidRPr="00EB7C63">
        <w:rPr>
          <w:rFonts w:ascii="Poppins" w:eastAsia="Times New Roman" w:hAnsi="Poppins" w:cs="Poppins"/>
          <w:color w:val="555555"/>
          <w:kern w:val="0"/>
          <w:sz w:val="21"/>
          <w:szCs w:val="21"/>
          <w14:ligatures w14:val="none"/>
        </w:rPr>
        <w:t xml:space="preserve">, M., &amp; Hayward, B. (2015). Predictors of Treatment Response to </w:t>
      </w:r>
      <w:proofErr w:type="spellStart"/>
      <w:r w:rsidRPr="00EB7C63">
        <w:rPr>
          <w:rFonts w:ascii="Poppins" w:eastAsia="Times New Roman" w:hAnsi="Poppins" w:cs="Poppins"/>
          <w:color w:val="555555"/>
          <w:kern w:val="0"/>
          <w:sz w:val="21"/>
          <w:szCs w:val="21"/>
          <w14:ligatures w14:val="none"/>
        </w:rPr>
        <w:t>Tesamorelin</w:t>
      </w:r>
      <w:proofErr w:type="spellEnd"/>
      <w:r w:rsidRPr="00EB7C63">
        <w:rPr>
          <w:rFonts w:ascii="Poppins" w:eastAsia="Times New Roman" w:hAnsi="Poppins" w:cs="Poppins"/>
          <w:color w:val="555555"/>
          <w:kern w:val="0"/>
          <w:sz w:val="21"/>
          <w:szCs w:val="21"/>
          <w14:ligatures w14:val="none"/>
        </w:rPr>
        <w:t xml:space="preserve">, a Growth Hormone-Releasing Factor Analog, in HIV-Infected Patients with Excess Abdominal Fat. </w:t>
      </w:r>
      <w:proofErr w:type="spellStart"/>
      <w:r w:rsidRPr="00EB7C63">
        <w:rPr>
          <w:rFonts w:ascii="Poppins" w:eastAsia="Times New Roman" w:hAnsi="Poppins" w:cs="Poppins"/>
          <w:color w:val="555555"/>
          <w:kern w:val="0"/>
          <w:sz w:val="21"/>
          <w:szCs w:val="21"/>
          <w14:ligatures w14:val="none"/>
        </w:rPr>
        <w:t>PloS</w:t>
      </w:r>
      <w:proofErr w:type="spellEnd"/>
      <w:r w:rsidRPr="00EB7C63">
        <w:rPr>
          <w:rFonts w:ascii="Poppins" w:eastAsia="Times New Roman" w:hAnsi="Poppins" w:cs="Poppins"/>
          <w:color w:val="555555"/>
          <w:kern w:val="0"/>
          <w:sz w:val="21"/>
          <w:szCs w:val="21"/>
          <w14:ligatures w14:val="none"/>
        </w:rPr>
        <w:t xml:space="preserve"> one, 10(10), e0140358. </w:t>
      </w:r>
      <w:hyperlink r:id="rId8" w:tgtFrame="_blank" w:history="1">
        <w:proofErr w:type="gramStart"/>
        <w:r w:rsidRPr="00EB7C63">
          <w:rPr>
            <w:rFonts w:ascii="Poppins" w:eastAsia="Times New Roman" w:hAnsi="Poppins" w:cs="Poppins"/>
            <w:color w:val="0E66AF"/>
            <w:kern w:val="0"/>
            <w:sz w:val="21"/>
            <w:szCs w:val="21"/>
            <w:u w:val="single"/>
            <w:bdr w:val="none" w:sz="0" w:space="0" w:color="auto" w:frame="1"/>
            <w14:ligatures w14:val="none"/>
          </w:rPr>
          <w:t>doi:10.1371/journal.pone</w:t>
        </w:r>
        <w:proofErr w:type="gramEnd"/>
        <w:r w:rsidRPr="00EB7C63">
          <w:rPr>
            <w:rFonts w:ascii="Poppins" w:eastAsia="Times New Roman" w:hAnsi="Poppins" w:cs="Poppins"/>
            <w:color w:val="0E66AF"/>
            <w:kern w:val="0"/>
            <w:sz w:val="21"/>
            <w:szCs w:val="21"/>
            <w:u w:val="single"/>
            <w:bdr w:val="none" w:sz="0" w:space="0" w:color="auto" w:frame="1"/>
            <w14:ligatures w14:val="none"/>
          </w:rPr>
          <w:t>.0140358</w:t>
        </w:r>
      </w:hyperlink>
      <w:r w:rsidRPr="00EB7C63">
        <w:rPr>
          <w:rFonts w:ascii="Poppins" w:eastAsia="Times New Roman" w:hAnsi="Poppins" w:cs="Poppins"/>
          <w:color w:val="555555"/>
          <w:kern w:val="0"/>
          <w:sz w:val="21"/>
          <w:szCs w:val="21"/>
          <w14:ligatures w14:val="none"/>
        </w:rPr>
        <w:t>.</w:t>
      </w:r>
    </w:p>
    <w:p w14:paraId="69842A58" w14:textId="77777777" w:rsidR="00EB7C63" w:rsidRPr="00EB7C63" w:rsidRDefault="00EB7C63" w:rsidP="00EB7C6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EB7C63">
        <w:rPr>
          <w:rFonts w:ascii="Poppins" w:eastAsia="Times New Roman" w:hAnsi="Poppins" w:cs="Poppins"/>
          <w:color w:val="555555"/>
          <w:kern w:val="0"/>
          <w:sz w:val="21"/>
          <w:szCs w:val="21"/>
          <w14:ligatures w14:val="none"/>
        </w:rPr>
        <w:lastRenderedPageBreak/>
        <w:t>Tuffaha</w:t>
      </w:r>
      <w:proofErr w:type="spellEnd"/>
      <w:r w:rsidRPr="00EB7C63">
        <w:rPr>
          <w:rFonts w:ascii="Poppins" w:eastAsia="Times New Roman" w:hAnsi="Poppins" w:cs="Poppins"/>
          <w:color w:val="555555"/>
          <w:kern w:val="0"/>
          <w:sz w:val="21"/>
          <w:szCs w:val="21"/>
          <w14:ligatures w14:val="none"/>
        </w:rPr>
        <w:t xml:space="preserve">, S. H., Singh, P., </w:t>
      </w:r>
      <w:proofErr w:type="spellStart"/>
      <w:r w:rsidRPr="00EB7C63">
        <w:rPr>
          <w:rFonts w:ascii="Poppins" w:eastAsia="Times New Roman" w:hAnsi="Poppins" w:cs="Poppins"/>
          <w:color w:val="555555"/>
          <w:kern w:val="0"/>
          <w:sz w:val="21"/>
          <w:szCs w:val="21"/>
          <w14:ligatures w14:val="none"/>
        </w:rPr>
        <w:t>Budihardjo</w:t>
      </w:r>
      <w:proofErr w:type="spellEnd"/>
      <w:r w:rsidRPr="00EB7C63">
        <w:rPr>
          <w:rFonts w:ascii="Poppins" w:eastAsia="Times New Roman" w:hAnsi="Poppins" w:cs="Poppins"/>
          <w:color w:val="555555"/>
          <w:kern w:val="0"/>
          <w:sz w:val="21"/>
          <w:szCs w:val="21"/>
          <w14:ligatures w14:val="none"/>
        </w:rPr>
        <w:t xml:space="preserve">, J. D., Means, K. R., Higgins, J. P., Shores, J. T., Salvatori, R., </w:t>
      </w:r>
      <w:proofErr w:type="spellStart"/>
      <w:r w:rsidRPr="00EB7C63">
        <w:rPr>
          <w:rFonts w:ascii="Poppins" w:eastAsia="Times New Roman" w:hAnsi="Poppins" w:cs="Poppins"/>
          <w:color w:val="555555"/>
          <w:kern w:val="0"/>
          <w:sz w:val="21"/>
          <w:szCs w:val="21"/>
          <w14:ligatures w14:val="none"/>
        </w:rPr>
        <w:t>Höke</w:t>
      </w:r>
      <w:proofErr w:type="spellEnd"/>
      <w:r w:rsidRPr="00EB7C63">
        <w:rPr>
          <w:rFonts w:ascii="Poppins" w:eastAsia="Times New Roman" w:hAnsi="Poppins" w:cs="Poppins"/>
          <w:color w:val="555555"/>
          <w:kern w:val="0"/>
          <w:sz w:val="21"/>
          <w:szCs w:val="21"/>
          <w14:ligatures w14:val="none"/>
        </w:rPr>
        <w:t xml:space="preserve">, A., Lee, W. P., &amp; </w:t>
      </w:r>
      <w:proofErr w:type="spellStart"/>
      <w:r w:rsidRPr="00EB7C63">
        <w:rPr>
          <w:rFonts w:ascii="Poppins" w:eastAsia="Times New Roman" w:hAnsi="Poppins" w:cs="Poppins"/>
          <w:color w:val="555555"/>
          <w:kern w:val="0"/>
          <w:sz w:val="21"/>
          <w:szCs w:val="21"/>
          <w14:ligatures w14:val="none"/>
        </w:rPr>
        <w:t>Brandacher</w:t>
      </w:r>
      <w:proofErr w:type="spellEnd"/>
      <w:r w:rsidRPr="00EB7C63">
        <w:rPr>
          <w:rFonts w:ascii="Poppins" w:eastAsia="Times New Roman" w:hAnsi="Poppins" w:cs="Poppins"/>
          <w:color w:val="555555"/>
          <w:kern w:val="0"/>
          <w:sz w:val="21"/>
          <w:szCs w:val="21"/>
          <w14:ligatures w14:val="none"/>
        </w:rPr>
        <w:t>, G. (2016). Therapeutic augmentation of the growth hormone axis to improve outcomes following peripheral nerve injury. Expert opinion on therapeutic targets, 20(10), 1259–1265. </w:t>
      </w:r>
      <w:hyperlink r:id="rId9" w:tgtFrame="_blank" w:history="1">
        <w:r w:rsidRPr="00EB7C63">
          <w:rPr>
            <w:rFonts w:ascii="Poppins" w:eastAsia="Times New Roman" w:hAnsi="Poppins" w:cs="Poppins"/>
            <w:color w:val="0E66AF"/>
            <w:kern w:val="0"/>
            <w:sz w:val="21"/>
            <w:szCs w:val="21"/>
            <w:u w:val="single"/>
            <w:bdr w:val="none" w:sz="0" w:space="0" w:color="auto" w:frame="1"/>
            <w14:ligatures w14:val="none"/>
          </w:rPr>
          <w:t>doi:10.1080/14728222.2016.1188079</w:t>
        </w:r>
      </w:hyperlink>
      <w:r w:rsidRPr="00EB7C63">
        <w:rPr>
          <w:rFonts w:ascii="Poppins" w:eastAsia="Times New Roman" w:hAnsi="Poppins" w:cs="Poppins"/>
          <w:color w:val="555555"/>
          <w:kern w:val="0"/>
          <w:sz w:val="21"/>
          <w:szCs w:val="21"/>
          <w14:ligatures w14:val="none"/>
        </w:rPr>
        <w:t>.</w:t>
      </w:r>
    </w:p>
    <w:p w14:paraId="0E596523" w14:textId="77777777" w:rsidR="00EB7C63" w:rsidRPr="00EB7C63" w:rsidRDefault="00EB7C63" w:rsidP="00EB7C63">
      <w:pPr>
        <w:numPr>
          <w:ilvl w:val="0"/>
          <w:numId w:val="1"/>
        </w:numPr>
        <w:shd w:val="clear" w:color="auto" w:fill="FFFFFF"/>
        <w:spacing w:line="390" w:lineRule="atLeast"/>
        <w:textAlignment w:val="baseline"/>
        <w:rPr>
          <w:rFonts w:ascii="Poppins" w:eastAsia="Times New Roman" w:hAnsi="Poppins" w:cs="Poppins"/>
          <w:color w:val="555555"/>
          <w:kern w:val="0"/>
          <w:sz w:val="21"/>
          <w:szCs w:val="21"/>
          <w14:ligatures w14:val="none"/>
        </w:rPr>
      </w:pPr>
      <w:r w:rsidRPr="00EB7C63">
        <w:rPr>
          <w:rFonts w:ascii="Poppins" w:eastAsia="Times New Roman" w:hAnsi="Poppins" w:cs="Poppins"/>
          <w:color w:val="555555"/>
          <w:kern w:val="0"/>
          <w:sz w:val="21"/>
          <w:szCs w:val="21"/>
          <w14:ligatures w14:val="none"/>
        </w:rPr>
        <w:t xml:space="preserve">Friedman, S. D., Baker, L. D., Borson, S., Jensen, J. E., Barsness, S. M., Craft, S., Merriam, G. R., Otto, R. K., Novotny, E. J., &amp; Vitiello, M. V. (2013). Growth hormone-releasing hormone effects on brain </w:t>
      </w:r>
      <w:r w:rsidRPr="00EB7C63">
        <w:rPr>
          <w:rFonts w:ascii="Cambria" w:eastAsia="Times New Roman" w:hAnsi="Cambria" w:cs="Cambria"/>
          <w:color w:val="555555"/>
          <w:kern w:val="0"/>
          <w:sz w:val="21"/>
          <w:szCs w:val="21"/>
          <w14:ligatures w14:val="none"/>
        </w:rPr>
        <w:t>γ</w:t>
      </w:r>
      <w:r w:rsidRPr="00EB7C63">
        <w:rPr>
          <w:rFonts w:ascii="Poppins" w:eastAsia="Times New Roman" w:hAnsi="Poppins" w:cs="Poppins"/>
          <w:color w:val="555555"/>
          <w:kern w:val="0"/>
          <w:sz w:val="21"/>
          <w:szCs w:val="21"/>
          <w14:ligatures w14:val="none"/>
        </w:rPr>
        <w:t>-aminobutyric acid levels in mild cognitive impairment and healthy aging. JAMA neurology, 70(7), 883–890. </w:t>
      </w:r>
      <w:hyperlink r:id="rId10" w:tgtFrame="_blank" w:history="1">
        <w:r w:rsidRPr="00EB7C63">
          <w:rPr>
            <w:rFonts w:ascii="Poppins" w:eastAsia="Times New Roman" w:hAnsi="Poppins" w:cs="Poppins"/>
            <w:color w:val="0E66AF"/>
            <w:kern w:val="0"/>
            <w:sz w:val="21"/>
            <w:szCs w:val="21"/>
            <w:u w:val="single"/>
            <w:bdr w:val="none" w:sz="0" w:space="0" w:color="auto" w:frame="1"/>
            <w14:ligatures w14:val="none"/>
          </w:rPr>
          <w:t>doi:10.1001/jamaneurol.2013.1425</w:t>
        </w:r>
      </w:hyperlink>
      <w:r w:rsidRPr="00EB7C63">
        <w:rPr>
          <w:rFonts w:ascii="Poppins" w:eastAsia="Times New Roman" w:hAnsi="Poppins" w:cs="Poppins"/>
          <w:color w:val="555555"/>
          <w:kern w:val="0"/>
          <w:sz w:val="21"/>
          <w:szCs w:val="21"/>
          <w14:ligatures w14:val="none"/>
        </w:rPr>
        <w:t>.</w:t>
      </w:r>
    </w:p>
    <w:p w14:paraId="5186D894" w14:textId="77777777" w:rsidR="00717912" w:rsidRDefault="00717912"/>
    <w:sectPr w:rsidR="007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31794"/>
    <w:multiLevelType w:val="multilevel"/>
    <w:tmpl w:val="9B045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1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3"/>
    <w:rsid w:val="001749AB"/>
    <w:rsid w:val="00717912"/>
    <w:rsid w:val="00970635"/>
    <w:rsid w:val="00D913CB"/>
    <w:rsid w:val="00EB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E45D"/>
  <w15:chartTrackingRefBased/>
  <w15:docId w15:val="{018838EE-D1CF-4E4D-9220-8AF0D1A2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C63"/>
    <w:rPr>
      <w:rFonts w:eastAsiaTheme="majorEastAsia" w:cstheme="majorBidi"/>
      <w:color w:val="272727" w:themeColor="text1" w:themeTint="D8"/>
    </w:rPr>
  </w:style>
  <w:style w:type="paragraph" w:styleId="Title">
    <w:name w:val="Title"/>
    <w:basedOn w:val="Normal"/>
    <w:next w:val="Normal"/>
    <w:link w:val="TitleChar"/>
    <w:uiPriority w:val="10"/>
    <w:qFormat/>
    <w:rsid w:val="00EB7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C63"/>
    <w:pPr>
      <w:spacing w:before="160"/>
      <w:jc w:val="center"/>
    </w:pPr>
    <w:rPr>
      <w:i/>
      <w:iCs/>
      <w:color w:val="404040" w:themeColor="text1" w:themeTint="BF"/>
    </w:rPr>
  </w:style>
  <w:style w:type="character" w:customStyle="1" w:styleId="QuoteChar">
    <w:name w:val="Quote Char"/>
    <w:basedOn w:val="DefaultParagraphFont"/>
    <w:link w:val="Quote"/>
    <w:uiPriority w:val="29"/>
    <w:rsid w:val="00EB7C63"/>
    <w:rPr>
      <w:i/>
      <w:iCs/>
      <w:color w:val="404040" w:themeColor="text1" w:themeTint="BF"/>
    </w:rPr>
  </w:style>
  <w:style w:type="paragraph" w:styleId="ListParagraph">
    <w:name w:val="List Paragraph"/>
    <w:basedOn w:val="Normal"/>
    <w:uiPriority w:val="34"/>
    <w:qFormat/>
    <w:rsid w:val="00EB7C63"/>
    <w:pPr>
      <w:ind w:left="720"/>
      <w:contextualSpacing/>
    </w:pPr>
  </w:style>
  <w:style w:type="character" w:styleId="IntenseEmphasis">
    <w:name w:val="Intense Emphasis"/>
    <w:basedOn w:val="DefaultParagraphFont"/>
    <w:uiPriority w:val="21"/>
    <w:qFormat/>
    <w:rsid w:val="00EB7C63"/>
    <w:rPr>
      <w:i/>
      <w:iCs/>
      <w:color w:val="0F4761" w:themeColor="accent1" w:themeShade="BF"/>
    </w:rPr>
  </w:style>
  <w:style w:type="paragraph" w:styleId="IntenseQuote">
    <w:name w:val="Intense Quote"/>
    <w:basedOn w:val="Normal"/>
    <w:next w:val="Normal"/>
    <w:link w:val="IntenseQuoteChar"/>
    <w:uiPriority w:val="30"/>
    <w:qFormat/>
    <w:rsid w:val="00EB7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C63"/>
    <w:rPr>
      <w:i/>
      <w:iCs/>
      <w:color w:val="0F4761" w:themeColor="accent1" w:themeShade="BF"/>
    </w:rPr>
  </w:style>
  <w:style w:type="character" w:styleId="IntenseReference">
    <w:name w:val="Intense Reference"/>
    <w:basedOn w:val="DefaultParagraphFont"/>
    <w:uiPriority w:val="32"/>
    <w:qFormat/>
    <w:rsid w:val="00EB7C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495739">
      <w:bodyDiv w:val="1"/>
      <w:marLeft w:val="0"/>
      <w:marRight w:val="0"/>
      <w:marTop w:val="0"/>
      <w:marBottom w:val="0"/>
      <w:divBdr>
        <w:top w:val="none" w:sz="0" w:space="0" w:color="auto"/>
        <w:left w:val="none" w:sz="0" w:space="0" w:color="auto"/>
        <w:bottom w:val="none" w:sz="0" w:space="0" w:color="auto"/>
        <w:right w:val="none" w:sz="0" w:space="0" w:color="auto"/>
      </w:divBdr>
      <w:divsChild>
        <w:div w:id="213971627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40358" TargetMode="External"/><Relationship Id="rId3" Type="http://schemas.openxmlformats.org/officeDocument/2006/relationships/settings" Target="settings.xml"/><Relationship Id="rId7" Type="http://schemas.openxmlformats.org/officeDocument/2006/relationships/hyperlink" Target="https://doi.org/10.1093/cid/cis2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56/NEJMoa072375" TargetMode="External"/><Relationship Id="rId11" Type="http://schemas.openxmlformats.org/officeDocument/2006/relationships/fontTable" Target="fontTable.xml"/><Relationship Id="rId5" Type="http://schemas.openxmlformats.org/officeDocument/2006/relationships/hyperlink" Target="https://doi.org/10.1016/j.beem.2017.02.006" TargetMode="External"/><Relationship Id="rId10" Type="http://schemas.openxmlformats.org/officeDocument/2006/relationships/hyperlink" Target="https://doi.org/10.1001/jamaneurol.2013.1425" TargetMode="External"/><Relationship Id="rId4" Type="http://schemas.openxmlformats.org/officeDocument/2006/relationships/webSettings" Target="webSettings.xml"/><Relationship Id="rId9" Type="http://schemas.openxmlformats.org/officeDocument/2006/relationships/hyperlink" Target="https://doi.org/10.1080/14728222.2016.1188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2</cp:revision>
  <dcterms:created xsi:type="dcterms:W3CDTF">2024-04-28T13:54:00Z</dcterms:created>
  <dcterms:modified xsi:type="dcterms:W3CDTF">2024-04-28T13:54:00Z</dcterms:modified>
</cp:coreProperties>
</file>