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679E8" w14:textId="77777777" w:rsidR="00B76913" w:rsidRPr="00B76913" w:rsidRDefault="00B76913" w:rsidP="00B76913">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B76913">
        <w:rPr>
          <w:rFonts w:ascii="Poppins" w:eastAsia="Times New Roman" w:hAnsi="Poppins" w:cs="Poppins"/>
          <w:color w:val="000000"/>
          <w:kern w:val="0"/>
          <w:sz w:val="33"/>
          <w:szCs w:val="33"/>
          <w14:ligatures w14:val="none"/>
        </w:rPr>
        <w:t>BPC-157 &amp; TB-500 Peptide Blend</w:t>
      </w:r>
    </w:p>
    <w:p w14:paraId="56CFBBF0" w14:textId="77777777" w:rsidR="00B76913" w:rsidRPr="00B76913" w:rsidRDefault="009F6DB5" w:rsidP="00B76913">
      <w:pPr>
        <w:shd w:val="clear" w:color="auto" w:fill="FFFFFF"/>
        <w:spacing w:after="0" w:line="240" w:lineRule="auto"/>
        <w:textAlignment w:val="baseline"/>
        <w:rPr>
          <w:rFonts w:ascii="Poppins" w:eastAsia="Times New Roman" w:hAnsi="Poppins" w:cs="Poppins"/>
          <w:color w:val="000000"/>
          <w:kern w:val="0"/>
          <w:sz w:val="21"/>
          <w:szCs w:val="21"/>
          <w14:ligatures w14:val="none"/>
        </w:rPr>
      </w:pPr>
      <w:hyperlink r:id="rId5" w:tooltip="Buy BPC-157 - 5mg" w:history="1">
        <w:r w:rsidR="00B76913" w:rsidRPr="00B76913">
          <w:rPr>
            <w:rFonts w:ascii="Poppins" w:eastAsia="Times New Roman" w:hAnsi="Poppins" w:cs="Poppins"/>
            <w:color w:val="0E66AF"/>
            <w:kern w:val="0"/>
            <w:sz w:val="21"/>
            <w:szCs w:val="21"/>
            <w:highlight w:val="yellow"/>
            <w:u w:val="single"/>
            <w:bdr w:val="none" w:sz="0" w:space="0" w:color="auto" w:frame="1"/>
            <w14:ligatures w14:val="none"/>
          </w:rPr>
          <w:t>BPC-157</w:t>
        </w:r>
      </w:hyperlink>
      <w:r w:rsidR="00B76913" w:rsidRPr="00B76913">
        <w:rPr>
          <w:rFonts w:ascii="Poppins" w:eastAsia="Times New Roman" w:hAnsi="Poppins" w:cs="Poppins"/>
          <w:color w:val="000000"/>
          <w:kern w:val="0"/>
          <w:sz w:val="21"/>
          <w:szCs w:val="21"/>
          <w:highlight w:val="yellow"/>
          <w14:ligatures w14:val="none"/>
        </w:rPr>
        <w:t> and </w:t>
      </w:r>
      <w:hyperlink r:id="rId6" w:tooltip="Buy TB-500 - 5mg" w:history="1">
        <w:r w:rsidR="00B76913" w:rsidRPr="00B76913">
          <w:rPr>
            <w:rFonts w:ascii="Poppins" w:eastAsia="Times New Roman" w:hAnsi="Poppins" w:cs="Poppins"/>
            <w:color w:val="0E66AF"/>
            <w:kern w:val="0"/>
            <w:sz w:val="21"/>
            <w:szCs w:val="21"/>
            <w:highlight w:val="yellow"/>
            <w:u w:val="single"/>
            <w:bdr w:val="none" w:sz="0" w:space="0" w:color="auto" w:frame="1"/>
            <w14:ligatures w14:val="none"/>
          </w:rPr>
          <w:t>TB-500</w:t>
        </w:r>
      </w:hyperlink>
      <w:r w:rsidR="00B76913" w:rsidRPr="00B76913">
        <w:rPr>
          <w:rFonts w:ascii="Poppins" w:eastAsia="Times New Roman" w:hAnsi="Poppins" w:cs="Poppins"/>
          <w:color w:val="000000"/>
          <w:kern w:val="0"/>
          <w:sz w:val="21"/>
          <w:szCs w:val="21"/>
          <w:highlight w:val="yellow"/>
          <w14:ligatures w14:val="none"/>
        </w:rPr>
        <w:t> peptides have both been examined in research on tissue repair processes, although study findings indicate that the compounds may use different biochemical pathways to achieve this potential. Researchers also hypothesize that the two molecules may exhibit synergistic effects in the healing process when exposed in combination.</w:t>
      </w:r>
      <w:r w:rsidR="00B76913" w:rsidRPr="00B76913">
        <w:rPr>
          <w:rFonts w:ascii="Poppins" w:eastAsia="Times New Roman" w:hAnsi="Poppins" w:cs="Poppins"/>
          <w:color w:val="000000"/>
          <w:kern w:val="0"/>
          <w:sz w:val="15"/>
          <w:szCs w:val="15"/>
          <w:highlight w:val="yellow"/>
          <w:bdr w:val="none" w:sz="0" w:space="0" w:color="auto" w:frame="1"/>
          <w:vertAlign w:val="superscript"/>
          <w14:ligatures w14:val="none"/>
        </w:rPr>
        <w:t>[1]</w:t>
      </w:r>
      <w:r w:rsidR="00B76913" w:rsidRPr="00B76913">
        <w:rPr>
          <w:rFonts w:ascii="Poppins" w:eastAsia="Times New Roman" w:hAnsi="Poppins" w:cs="Poppins"/>
          <w:color w:val="000000"/>
          <w:kern w:val="0"/>
          <w:sz w:val="21"/>
          <w:szCs w:val="21"/>
          <w:highlight w:val="yellow"/>
          <w14:ligatures w14:val="none"/>
        </w:rPr>
        <w:t> The synergistic effect of the blend may improve the overall flexibility and adjustability of the tissues following damage.</w:t>
      </w:r>
    </w:p>
    <w:p w14:paraId="7A69BF93" w14:textId="77777777" w:rsidR="00B76913" w:rsidRPr="00B76913" w:rsidRDefault="00B76913" w:rsidP="00B76913">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B76913">
        <w:rPr>
          <w:rFonts w:ascii="Poppins" w:eastAsia="Times New Roman" w:hAnsi="Poppins" w:cs="Poppins"/>
          <w:color w:val="000000"/>
          <w:kern w:val="0"/>
          <w:sz w:val="33"/>
          <w:szCs w:val="33"/>
          <w14:ligatures w14:val="none"/>
        </w:rPr>
        <w:t>BPC-157 Specifications</w:t>
      </w:r>
    </w:p>
    <w:p w14:paraId="45E75EFE" w14:textId="77777777" w:rsidR="00B76913" w:rsidRPr="00B76913" w:rsidRDefault="00B76913" w:rsidP="00B7691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OTHER KNOWN TITLES:</w:t>
      </w:r>
      <w:r w:rsidRPr="00B76913">
        <w:rPr>
          <w:rFonts w:ascii="Poppins" w:eastAsia="Times New Roman" w:hAnsi="Poppins" w:cs="Poppins"/>
          <w:color w:val="000000"/>
          <w:kern w:val="0"/>
          <w:sz w:val="21"/>
          <w:szCs w:val="21"/>
          <w14:ligatures w14:val="none"/>
        </w:rPr>
        <w:t> BPC 157</w:t>
      </w:r>
    </w:p>
    <w:p w14:paraId="58340206" w14:textId="77777777" w:rsidR="00B76913" w:rsidRPr="00B76913" w:rsidRDefault="00B76913" w:rsidP="00B7691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MOLECULAR FORMULA:</w:t>
      </w:r>
      <w:r w:rsidRPr="00B76913">
        <w:rPr>
          <w:rFonts w:ascii="Poppins" w:eastAsia="Times New Roman" w:hAnsi="Poppins" w:cs="Poppins"/>
          <w:color w:val="000000"/>
          <w:kern w:val="0"/>
          <w:sz w:val="21"/>
          <w:szCs w:val="21"/>
          <w14:ligatures w14:val="none"/>
        </w:rPr>
        <w:t> C</w:t>
      </w:r>
      <w:r w:rsidRPr="00B76913">
        <w:rPr>
          <w:rFonts w:ascii="Poppins" w:eastAsia="Times New Roman" w:hAnsi="Poppins" w:cs="Poppins"/>
          <w:color w:val="000000"/>
          <w:kern w:val="0"/>
          <w:sz w:val="21"/>
          <w:szCs w:val="21"/>
          <w:bdr w:val="none" w:sz="0" w:space="0" w:color="auto" w:frame="1"/>
          <w:vertAlign w:val="subscript"/>
          <w14:ligatures w14:val="none"/>
        </w:rPr>
        <w:t>62</w:t>
      </w:r>
      <w:r w:rsidRPr="00B76913">
        <w:rPr>
          <w:rFonts w:ascii="Poppins" w:eastAsia="Times New Roman" w:hAnsi="Poppins" w:cs="Poppins"/>
          <w:color w:val="000000"/>
          <w:kern w:val="0"/>
          <w:sz w:val="21"/>
          <w:szCs w:val="21"/>
          <w14:ligatures w14:val="none"/>
        </w:rPr>
        <w:t>H</w:t>
      </w:r>
      <w:r w:rsidRPr="00B76913">
        <w:rPr>
          <w:rFonts w:ascii="Poppins" w:eastAsia="Times New Roman" w:hAnsi="Poppins" w:cs="Poppins"/>
          <w:color w:val="000000"/>
          <w:kern w:val="0"/>
          <w:sz w:val="21"/>
          <w:szCs w:val="21"/>
          <w:bdr w:val="none" w:sz="0" w:space="0" w:color="auto" w:frame="1"/>
          <w:vertAlign w:val="subscript"/>
          <w14:ligatures w14:val="none"/>
        </w:rPr>
        <w:t>98</w:t>
      </w:r>
      <w:r w:rsidRPr="00B76913">
        <w:rPr>
          <w:rFonts w:ascii="Poppins" w:eastAsia="Times New Roman" w:hAnsi="Poppins" w:cs="Poppins"/>
          <w:color w:val="000000"/>
          <w:kern w:val="0"/>
          <w:sz w:val="21"/>
          <w:szCs w:val="21"/>
          <w14:ligatures w14:val="none"/>
        </w:rPr>
        <w:t>N</w:t>
      </w:r>
      <w:r w:rsidRPr="00B76913">
        <w:rPr>
          <w:rFonts w:ascii="Poppins" w:eastAsia="Times New Roman" w:hAnsi="Poppins" w:cs="Poppins"/>
          <w:color w:val="000000"/>
          <w:kern w:val="0"/>
          <w:sz w:val="21"/>
          <w:szCs w:val="21"/>
          <w:bdr w:val="none" w:sz="0" w:space="0" w:color="auto" w:frame="1"/>
          <w:vertAlign w:val="subscript"/>
          <w14:ligatures w14:val="none"/>
        </w:rPr>
        <w:t>16</w:t>
      </w:r>
      <w:r w:rsidRPr="00B76913">
        <w:rPr>
          <w:rFonts w:ascii="Poppins" w:eastAsia="Times New Roman" w:hAnsi="Poppins" w:cs="Poppins"/>
          <w:color w:val="000000"/>
          <w:kern w:val="0"/>
          <w:sz w:val="21"/>
          <w:szCs w:val="21"/>
          <w14:ligatures w14:val="none"/>
        </w:rPr>
        <w:t>O</w:t>
      </w:r>
      <w:r w:rsidRPr="00B76913">
        <w:rPr>
          <w:rFonts w:ascii="Poppins" w:eastAsia="Times New Roman" w:hAnsi="Poppins" w:cs="Poppins"/>
          <w:color w:val="000000"/>
          <w:kern w:val="0"/>
          <w:sz w:val="21"/>
          <w:szCs w:val="21"/>
          <w:bdr w:val="none" w:sz="0" w:space="0" w:color="auto" w:frame="1"/>
          <w:vertAlign w:val="subscript"/>
          <w14:ligatures w14:val="none"/>
        </w:rPr>
        <w:t>22</w:t>
      </w:r>
    </w:p>
    <w:p w14:paraId="5E3E9285" w14:textId="77777777" w:rsidR="00B76913" w:rsidRPr="00B76913" w:rsidRDefault="00B76913" w:rsidP="00B7691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MOLECULAR WEIGHT:</w:t>
      </w:r>
      <w:r w:rsidRPr="00B76913">
        <w:rPr>
          <w:rFonts w:ascii="Poppins" w:eastAsia="Times New Roman" w:hAnsi="Poppins" w:cs="Poppins"/>
          <w:color w:val="000000"/>
          <w:kern w:val="0"/>
          <w:sz w:val="21"/>
          <w:szCs w:val="21"/>
          <w14:ligatures w14:val="none"/>
        </w:rPr>
        <w:t> 1419.5355 g/mol</w:t>
      </w:r>
    </w:p>
    <w:p w14:paraId="2187D933" w14:textId="77777777" w:rsidR="00B76913" w:rsidRPr="00B76913" w:rsidRDefault="00B76913" w:rsidP="00B7691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SEQUENCE:</w:t>
      </w:r>
      <w:r w:rsidRPr="00B76913">
        <w:rPr>
          <w:rFonts w:ascii="Poppins" w:eastAsia="Times New Roman" w:hAnsi="Poppins" w:cs="Poppins"/>
          <w:color w:val="000000"/>
          <w:kern w:val="0"/>
          <w:sz w:val="21"/>
          <w:szCs w:val="21"/>
          <w14:ligatures w14:val="none"/>
        </w:rPr>
        <w:t> L-</w:t>
      </w:r>
      <w:proofErr w:type="gramStart"/>
      <w:r w:rsidRPr="00B76913">
        <w:rPr>
          <w:rFonts w:ascii="Poppins" w:eastAsia="Times New Roman" w:hAnsi="Poppins" w:cs="Poppins"/>
          <w:color w:val="000000"/>
          <w:kern w:val="0"/>
          <w:sz w:val="21"/>
          <w:szCs w:val="21"/>
          <w14:ligatures w14:val="none"/>
        </w:rPr>
        <w:t>Valine,glycyl</w:t>
      </w:r>
      <w:proofErr w:type="gramEnd"/>
      <w:r w:rsidRPr="00B76913">
        <w:rPr>
          <w:rFonts w:ascii="Poppins" w:eastAsia="Times New Roman" w:hAnsi="Poppins" w:cs="Poppins"/>
          <w:color w:val="000000"/>
          <w:kern w:val="0"/>
          <w:sz w:val="21"/>
          <w:szCs w:val="21"/>
          <w14:ligatures w14:val="none"/>
        </w:rPr>
        <w:t>-L-alpha-glutamyl-L-prolyl-L-prolyl-Lprolylglycyl-L-lysyl-L-prolyl-L-alanyl-L-alpha-aspartyl-L-alpha-aspartyl-L-alanylglycyl-L-leucyl-;glycyl-L-alpha-glutamyl-L-prolyl-L-prolyl-L-prolylglycyllysyl-L-prolyl-L-alanyl-L- alpha-</w:t>
      </w:r>
      <w:proofErr w:type="spellStart"/>
      <w:r w:rsidRPr="00B76913">
        <w:rPr>
          <w:rFonts w:ascii="Poppins" w:eastAsia="Times New Roman" w:hAnsi="Poppins" w:cs="Poppins"/>
          <w:color w:val="000000"/>
          <w:kern w:val="0"/>
          <w:sz w:val="21"/>
          <w:szCs w:val="21"/>
          <w14:ligatures w14:val="none"/>
        </w:rPr>
        <w:t>aspartylL</w:t>
      </w:r>
      <w:proofErr w:type="spellEnd"/>
      <w:r w:rsidRPr="00B76913">
        <w:rPr>
          <w:rFonts w:ascii="Poppins" w:eastAsia="Times New Roman" w:hAnsi="Poppins" w:cs="Poppins"/>
          <w:color w:val="000000"/>
          <w:kern w:val="0"/>
          <w:sz w:val="21"/>
          <w:szCs w:val="21"/>
          <w14:ligatures w14:val="none"/>
        </w:rPr>
        <w:t>-alpha-aspartyl-L-</w:t>
      </w:r>
      <w:proofErr w:type="spellStart"/>
      <w:r w:rsidRPr="00B76913">
        <w:rPr>
          <w:rFonts w:ascii="Poppins" w:eastAsia="Times New Roman" w:hAnsi="Poppins" w:cs="Poppins"/>
          <w:color w:val="000000"/>
          <w:kern w:val="0"/>
          <w:sz w:val="21"/>
          <w:szCs w:val="21"/>
          <w14:ligatures w14:val="none"/>
        </w:rPr>
        <w:t>alanylglycyl</w:t>
      </w:r>
      <w:proofErr w:type="spellEnd"/>
      <w:r w:rsidRPr="00B76913">
        <w:rPr>
          <w:rFonts w:ascii="Poppins" w:eastAsia="Times New Roman" w:hAnsi="Poppins" w:cs="Poppins"/>
          <w:color w:val="000000"/>
          <w:kern w:val="0"/>
          <w:sz w:val="21"/>
          <w:szCs w:val="21"/>
          <w14:ligatures w14:val="none"/>
        </w:rPr>
        <w:t>-L-leucyl-L-valine</w:t>
      </w:r>
    </w:p>
    <w:p w14:paraId="73A44E0B" w14:textId="77777777" w:rsidR="00B76913" w:rsidRPr="00B76913" w:rsidRDefault="00B76913" w:rsidP="00B76913">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B76913">
        <w:rPr>
          <w:rFonts w:ascii="Poppins" w:eastAsia="Times New Roman" w:hAnsi="Poppins" w:cs="Poppins"/>
          <w:color w:val="000000"/>
          <w:kern w:val="0"/>
          <w:sz w:val="33"/>
          <w:szCs w:val="33"/>
          <w14:ligatures w14:val="none"/>
        </w:rPr>
        <w:t>TB-500 Specifications</w:t>
      </w:r>
    </w:p>
    <w:p w14:paraId="0152F802" w14:textId="77777777" w:rsidR="00B76913" w:rsidRPr="00B76913" w:rsidRDefault="00B76913" w:rsidP="00B7691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OTHER KNOWN TITLES:</w:t>
      </w:r>
      <w:r w:rsidRPr="00B76913">
        <w:rPr>
          <w:rFonts w:ascii="Poppins" w:eastAsia="Times New Roman" w:hAnsi="Poppins" w:cs="Poppins"/>
          <w:color w:val="000000"/>
          <w:kern w:val="0"/>
          <w:sz w:val="21"/>
          <w:szCs w:val="21"/>
          <w14:ligatures w14:val="none"/>
        </w:rPr>
        <w:t> Thymosin Beta 4</w:t>
      </w:r>
    </w:p>
    <w:p w14:paraId="67010984" w14:textId="77777777" w:rsidR="00B76913" w:rsidRPr="00B76913" w:rsidRDefault="00B76913" w:rsidP="00B7691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MOLECULAR FORMULA:</w:t>
      </w:r>
      <w:r w:rsidRPr="00B76913">
        <w:rPr>
          <w:rFonts w:ascii="Poppins" w:eastAsia="Times New Roman" w:hAnsi="Poppins" w:cs="Poppins"/>
          <w:color w:val="000000"/>
          <w:kern w:val="0"/>
          <w:sz w:val="21"/>
          <w:szCs w:val="21"/>
          <w14:ligatures w14:val="none"/>
        </w:rPr>
        <w:t> C</w:t>
      </w:r>
      <w:r w:rsidRPr="00B76913">
        <w:rPr>
          <w:rFonts w:ascii="Poppins" w:eastAsia="Times New Roman" w:hAnsi="Poppins" w:cs="Poppins"/>
          <w:color w:val="000000"/>
          <w:kern w:val="0"/>
          <w:sz w:val="21"/>
          <w:szCs w:val="21"/>
          <w:bdr w:val="none" w:sz="0" w:space="0" w:color="auto" w:frame="1"/>
          <w:vertAlign w:val="subscript"/>
          <w14:ligatures w14:val="none"/>
        </w:rPr>
        <w:t>212</w:t>
      </w:r>
      <w:r w:rsidRPr="00B76913">
        <w:rPr>
          <w:rFonts w:ascii="Poppins" w:eastAsia="Times New Roman" w:hAnsi="Poppins" w:cs="Poppins"/>
          <w:color w:val="000000"/>
          <w:kern w:val="0"/>
          <w:sz w:val="21"/>
          <w:szCs w:val="21"/>
          <w14:ligatures w14:val="none"/>
        </w:rPr>
        <w:t>H</w:t>
      </w:r>
      <w:r w:rsidRPr="00B76913">
        <w:rPr>
          <w:rFonts w:ascii="Poppins" w:eastAsia="Times New Roman" w:hAnsi="Poppins" w:cs="Poppins"/>
          <w:color w:val="000000"/>
          <w:kern w:val="0"/>
          <w:sz w:val="21"/>
          <w:szCs w:val="21"/>
          <w:bdr w:val="none" w:sz="0" w:space="0" w:color="auto" w:frame="1"/>
          <w:vertAlign w:val="subscript"/>
          <w14:ligatures w14:val="none"/>
        </w:rPr>
        <w:t>350</w:t>
      </w:r>
      <w:r w:rsidRPr="00B76913">
        <w:rPr>
          <w:rFonts w:ascii="Poppins" w:eastAsia="Times New Roman" w:hAnsi="Poppins" w:cs="Poppins"/>
          <w:color w:val="000000"/>
          <w:kern w:val="0"/>
          <w:sz w:val="21"/>
          <w:szCs w:val="21"/>
          <w14:ligatures w14:val="none"/>
        </w:rPr>
        <w:t>N</w:t>
      </w:r>
      <w:r w:rsidRPr="00B76913">
        <w:rPr>
          <w:rFonts w:ascii="Poppins" w:eastAsia="Times New Roman" w:hAnsi="Poppins" w:cs="Poppins"/>
          <w:color w:val="000000"/>
          <w:kern w:val="0"/>
          <w:sz w:val="21"/>
          <w:szCs w:val="21"/>
          <w:bdr w:val="none" w:sz="0" w:space="0" w:color="auto" w:frame="1"/>
          <w:vertAlign w:val="subscript"/>
          <w14:ligatures w14:val="none"/>
        </w:rPr>
        <w:t>56</w:t>
      </w:r>
      <w:r w:rsidRPr="00B76913">
        <w:rPr>
          <w:rFonts w:ascii="Poppins" w:eastAsia="Times New Roman" w:hAnsi="Poppins" w:cs="Poppins"/>
          <w:color w:val="000000"/>
          <w:kern w:val="0"/>
          <w:sz w:val="21"/>
          <w:szCs w:val="21"/>
          <w14:ligatures w14:val="none"/>
        </w:rPr>
        <w:t>O</w:t>
      </w:r>
      <w:r w:rsidRPr="00B76913">
        <w:rPr>
          <w:rFonts w:ascii="Poppins" w:eastAsia="Times New Roman" w:hAnsi="Poppins" w:cs="Poppins"/>
          <w:color w:val="000000"/>
          <w:kern w:val="0"/>
          <w:sz w:val="21"/>
          <w:szCs w:val="21"/>
          <w:bdr w:val="none" w:sz="0" w:space="0" w:color="auto" w:frame="1"/>
          <w:vertAlign w:val="subscript"/>
          <w14:ligatures w14:val="none"/>
        </w:rPr>
        <w:t>78</w:t>
      </w:r>
      <w:r w:rsidRPr="00B76913">
        <w:rPr>
          <w:rFonts w:ascii="Poppins" w:eastAsia="Times New Roman" w:hAnsi="Poppins" w:cs="Poppins"/>
          <w:color w:val="000000"/>
          <w:kern w:val="0"/>
          <w:sz w:val="21"/>
          <w:szCs w:val="21"/>
          <w14:ligatures w14:val="none"/>
        </w:rPr>
        <w:t>S</w:t>
      </w:r>
    </w:p>
    <w:p w14:paraId="2DD6EDEA" w14:textId="77777777" w:rsidR="00B76913" w:rsidRPr="00B76913" w:rsidRDefault="00B76913" w:rsidP="00B7691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MOLECULAR WEIGHT:</w:t>
      </w:r>
      <w:r w:rsidRPr="00B76913">
        <w:rPr>
          <w:rFonts w:ascii="Poppins" w:eastAsia="Times New Roman" w:hAnsi="Poppins" w:cs="Poppins"/>
          <w:color w:val="000000"/>
          <w:kern w:val="0"/>
          <w:sz w:val="21"/>
          <w:szCs w:val="21"/>
          <w14:ligatures w14:val="none"/>
        </w:rPr>
        <w:t> 4963.506 g/mol</w:t>
      </w:r>
    </w:p>
    <w:p w14:paraId="2971EA99" w14:textId="77777777" w:rsidR="00B76913" w:rsidRPr="00B76913" w:rsidRDefault="00B76913" w:rsidP="00B7691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SEQUENCE:</w:t>
      </w:r>
      <w:r w:rsidRPr="00B76913">
        <w:rPr>
          <w:rFonts w:ascii="Poppins" w:eastAsia="Times New Roman" w:hAnsi="Poppins" w:cs="Poppins"/>
          <w:color w:val="000000"/>
          <w:kern w:val="0"/>
          <w:sz w:val="21"/>
          <w:szCs w:val="21"/>
          <w14:ligatures w14:val="none"/>
        </w:rPr>
        <w:t> Ac-Ser-Asp-Lys-Pro-Asp-Met-Ala-Glu-lle-GluLys-Phe-Asp-Lys-Ser-Lys-Leu-Lys-LysThr-Glu-Thr-Gin-Glu-Lys-Asn-Pro-Leu-Pro-Ser-Lys-GluThy-lleGlu-Gin-Glu-Lys-Gin-Ala-Gly-Glu-Ser</w:t>
      </w:r>
    </w:p>
    <w:p w14:paraId="1241B917" w14:textId="77777777" w:rsidR="00B76913" w:rsidRPr="00B76913" w:rsidRDefault="00B76913" w:rsidP="00B76913">
      <w:pPr>
        <w:shd w:val="clear" w:color="auto" w:fill="F7F7F7"/>
        <w:spacing w:after="0" w:line="240" w:lineRule="atLeast"/>
        <w:jc w:val="center"/>
        <w:textAlignment w:val="baseline"/>
        <w:outlineLvl w:val="2"/>
        <w:rPr>
          <w:rFonts w:ascii="Poppins" w:eastAsia="Times New Roman" w:hAnsi="Poppins" w:cs="Poppins"/>
          <w:color w:val="000000"/>
          <w:kern w:val="0"/>
          <w:sz w:val="33"/>
          <w:szCs w:val="33"/>
          <w14:ligatures w14:val="none"/>
        </w:rPr>
      </w:pPr>
      <w:r w:rsidRPr="00B76913">
        <w:rPr>
          <w:rFonts w:ascii="Poppins" w:eastAsia="Times New Roman" w:hAnsi="Poppins" w:cs="Poppins"/>
          <w:color w:val="000000"/>
          <w:kern w:val="0"/>
          <w:sz w:val="33"/>
          <w:szCs w:val="33"/>
          <w14:ligatures w14:val="none"/>
        </w:rPr>
        <w:t>BPC-157 &amp; TB-500 Blend Research</w:t>
      </w:r>
    </w:p>
    <w:p w14:paraId="7E666219" w14:textId="77777777" w:rsidR="00B76913" w:rsidRPr="00B76913" w:rsidRDefault="00B76913" w:rsidP="00B7691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BPC-157 &amp; TB-500 BLEND – RESEARCH IN CELLULAR MIGRATION</w:t>
      </w:r>
      <w:r w:rsidRPr="00B76913">
        <w:rPr>
          <w:rFonts w:ascii="Poppins" w:eastAsia="Times New Roman" w:hAnsi="Poppins" w:cs="Poppins"/>
          <w:color w:val="000000"/>
          <w:kern w:val="0"/>
          <w:sz w:val="21"/>
          <w:szCs w:val="21"/>
          <w14:ligatures w14:val="none"/>
        </w:rPr>
        <w:br/>
        <w:t>Fibroblasts and immune cells are considered crucial for the regulation and execution of successful repairing of tissue matter</w:t>
      </w:r>
      <w:r w:rsidRPr="00B76913">
        <w:rPr>
          <w:rFonts w:ascii="Poppins" w:eastAsia="Times New Roman" w:hAnsi="Poppins" w:cs="Poppins"/>
          <w:color w:val="000000"/>
          <w:kern w:val="0"/>
          <w:sz w:val="21"/>
          <w:szCs w:val="21"/>
          <w:highlight w:val="yellow"/>
          <w14:ligatures w14:val="none"/>
        </w:rPr>
        <w:t xml:space="preserve">. Both fibroblasts and immune cells appear to migrate to the site of tissue injury, whereby fibroblasts promote the formation of an extracellular matrix. The movement of these cells is considered dependent on the protein </w:t>
      </w:r>
      <w:proofErr w:type="spellStart"/>
      <w:r w:rsidRPr="00B76913">
        <w:rPr>
          <w:rFonts w:ascii="Poppins" w:eastAsia="Times New Roman" w:hAnsi="Poppins" w:cs="Poppins"/>
          <w:color w:val="000000"/>
          <w:kern w:val="0"/>
          <w:sz w:val="21"/>
          <w:szCs w:val="21"/>
          <w:highlight w:val="yellow"/>
          <w14:ligatures w14:val="none"/>
        </w:rPr>
        <w:t>axin</w:t>
      </w:r>
      <w:proofErr w:type="spellEnd"/>
      <w:r w:rsidRPr="00B76913">
        <w:rPr>
          <w:rFonts w:ascii="Poppins" w:eastAsia="Times New Roman" w:hAnsi="Poppins" w:cs="Poppins"/>
          <w:color w:val="000000"/>
          <w:kern w:val="0"/>
          <w:sz w:val="21"/>
          <w:szCs w:val="21"/>
          <w:highlight w:val="yellow"/>
          <w14:ligatures w14:val="none"/>
        </w:rPr>
        <w:t xml:space="preserve">. Studies in the peptides suggest that BPC-157 and TB-500 may possibly influence wound healing through their regulation of the </w:t>
      </w:r>
      <w:proofErr w:type="spellStart"/>
      <w:r w:rsidRPr="00B76913">
        <w:rPr>
          <w:rFonts w:ascii="Poppins" w:eastAsia="Times New Roman" w:hAnsi="Poppins" w:cs="Poppins"/>
          <w:color w:val="000000"/>
          <w:kern w:val="0"/>
          <w:sz w:val="21"/>
          <w:szCs w:val="21"/>
          <w:highlight w:val="yellow"/>
          <w14:ligatures w14:val="none"/>
        </w:rPr>
        <w:t>axin</w:t>
      </w:r>
      <w:proofErr w:type="spellEnd"/>
      <w:r w:rsidRPr="00B76913">
        <w:rPr>
          <w:rFonts w:ascii="Poppins" w:eastAsia="Times New Roman" w:hAnsi="Poppins" w:cs="Poppins"/>
          <w:color w:val="000000"/>
          <w:kern w:val="0"/>
          <w:sz w:val="21"/>
          <w:szCs w:val="21"/>
          <w:highlight w:val="yellow"/>
          <w14:ligatures w14:val="none"/>
        </w:rPr>
        <w:t xml:space="preserve"> protein.</w:t>
      </w:r>
      <w:r w:rsidRPr="00B76913">
        <w:rPr>
          <w:rFonts w:ascii="Poppins" w:eastAsia="Times New Roman" w:hAnsi="Poppins" w:cs="Poppins"/>
          <w:color w:val="000000"/>
          <w:kern w:val="0"/>
          <w:sz w:val="21"/>
          <w:szCs w:val="21"/>
          <w14:ligatures w14:val="none"/>
        </w:rPr>
        <w:t xml:space="preserve"> BPC-157 has exhibited some potential in scientific research studies to promote the transcription of the </w:t>
      </w:r>
      <w:proofErr w:type="spellStart"/>
      <w:r w:rsidRPr="00B76913">
        <w:rPr>
          <w:rFonts w:ascii="Poppins" w:eastAsia="Times New Roman" w:hAnsi="Poppins" w:cs="Poppins"/>
          <w:color w:val="000000"/>
          <w:kern w:val="0"/>
          <w:sz w:val="21"/>
          <w:szCs w:val="21"/>
          <w14:ligatures w14:val="none"/>
        </w:rPr>
        <w:t>axin</w:t>
      </w:r>
      <w:proofErr w:type="spellEnd"/>
      <w:r w:rsidRPr="00B76913">
        <w:rPr>
          <w:rFonts w:ascii="Poppins" w:eastAsia="Times New Roman" w:hAnsi="Poppins" w:cs="Poppins"/>
          <w:color w:val="000000"/>
          <w:kern w:val="0"/>
          <w:sz w:val="21"/>
          <w:szCs w:val="21"/>
          <w14:ligatures w14:val="none"/>
        </w:rPr>
        <w:t xml:space="preserve"> gene and thereby increase the expression of the protein.</w:t>
      </w:r>
      <w:r w:rsidRPr="00B76913">
        <w:rPr>
          <w:rFonts w:ascii="Poppins" w:eastAsia="Times New Roman" w:hAnsi="Poppins" w:cs="Poppins"/>
          <w:color w:val="000000"/>
          <w:kern w:val="0"/>
          <w:sz w:val="15"/>
          <w:szCs w:val="15"/>
          <w:bdr w:val="none" w:sz="0" w:space="0" w:color="auto" w:frame="1"/>
          <w:vertAlign w:val="superscript"/>
          <w14:ligatures w14:val="none"/>
        </w:rPr>
        <w:t>[2]</w:t>
      </w:r>
      <w:r w:rsidRPr="00B76913">
        <w:rPr>
          <w:rFonts w:ascii="Poppins" w:eastAsia="Times New Roman" w:hAnsi="Poppins" w:cs="Poppins"/>
          <w:color w:val="000000"/>
          <w:kern w:val="0"/>
          <w:sz w:val="21"/>
          <w:szCs w:val="21"/>
          <w14:ligatures w14:val="none"/>
        </w:rPr>
        <w:t xml:space="preserve"> It appears to act at the gene level to increase actin production, whereas TB-500 is an </w:t>
      </w:r>
      <w:proofErr w:type="spellStart"/>
      <w:r w:rsidRPr="00B76913">
        <w:rPr>
          <w:rFonts w:ascii="Poppins" w:eastAsia="Times New Roman" w:hAnsi="Poppins" w:cs="Poppins"/>
          <w:color w:val="000000"/>
          <w:kern w:val="0"/>
          <w:sz w:val="21"/>
          <w:szCs w:val="21"/>
          <w14:ligatures w14:val="none"/>
        </w:rPr>
        <w:t>actin</w:t>
      </w:r>
      <w:proofErr w:type="spellEnd"/>
      <w:r w:rsidRPr="00B76913">
        <w:rPr>
          <w:rFonts w:ascii="Poppins" w:eastAsia="Times New Roman" w:hAnsi="Poppins" w:cs="Poppins"/>
          <w:color w:val="000000"/>
          <w:kern w:val="0"/>
          <w:sz w:val="21"/>
          <w:szCs w:val="21"/>
          <w14:ligatures w14:val="none"/>
        </w:rPr>
        <w:t>-binding protein that appears to sequester actin in areas where its requirement is maximum for cell movement.</w:t>
      </w:r>
      <w:r w:rsidRPr="00B76913">
        <w:rPr>
          <w:rFonts w:ascii="Poppins" w:eastAsia="Times New Roman" w:hAnsi="Poppins" w:cs="Poppins"/>
          <w:color w:val="000000"/>
          <w:kern w:val="0"/>
          <w:sz w:val="15"/>
          <w:szCs w:val="15"/>
          <w:bdr w:val="none" w:sz="0" w:space="0" w:color="auto" w:frame="1"/>
          <w:vertAlign w:val="superscript"/>
          <w14:ligatures w14:val="none"/>
        </w:rPr>
        <w:t>[3] </w:t>
      </w:r>
      <w:r w:rsidRPr="00B76913">
        <w:rPr>
          <w:rFonts w:ascii="Poppins" w:eastAsia="Times New Roman" w:hAnsi="Poppins" w:cs="Poppins"/>
          <w:color w:val="000000"/>
          <w:kern w:val="0"/>
          <w:sz w:val="21"/>
          <w:szCs w:val="21"/>
          <w14:ligatures w14:val="none"/>
        </w:rPr>
        <w:t xml:space="preserve">Researchers suggest that TB-500 may enhance the functionality of </w:t>
      </w:r>
      <w:proofErr w:type="spellStart"/>
      <w:r w:rsidRPr="00B76913">
        <w:rPr>
          <w:rFonts w:ascii="Poppins" w:eastAsia="Times New Roman" w:hAnsi="Poppins" w:cs="Poppins"/>
          <w:color w:val="000000"/>
          <w:kern w:val="0"/>
          <w:sz w:val="21"/>
          <w:szCs w:val="21"/>
          <w14:ligatures w14:val="none"/>
        </w:rPr>
        <w:t>axin</w:t>
      </w:r>
      <w:proofErr w:type="spellEnd"/>
      <w:r w:rsidRPr="00B76913">
        <w:rPr>
          <w:rFonts w:ascii="Poppins" w:eastAsia="Times New Roman" w:hAnsi="Poppins" w:cs="Poppins"/>
          <w:color w:val="000000"/>
          <w:kern w:val="0"/>
          <w:sz w:val="21"/>
          <w:szCs w:val="21"/>
          <w14:ligatures w14:val="none"/>
        </w:rPr>
        <w:t xml:space="preserve"> through associated action. </w:t>
      </w:r>
      <w:proofErr w:type="spellStart"/>
      <w:r w:rsidRPr="00B76913">
        <w:rPr>
          <w:rFonts w:ascii="Poppins" w:eastAsia="Times New Roman" w:hAnsi="Poppins" w:cs="Poppins"/>
          <w:color w:val="000000"/>
          <w:kern w:val="0"/>
          <w:sz w:val="21"/>
          <w:szCs w:val="21"/>
          <w14:ligatures w14:val="none"/>
        </w:rPr>
        <w:t>Axin</w:t>
      </w:r>
      <w:proofErr w:type="spellEnd"/>
      <w:r w:rsidRPr="00B76913">
        <w:rPr>
          <w:rFonts w:ascii="Poppins" w:eastAsia="Times New Roman" w:hAnsi="Poppins" w:cs="Poppins"/>
          <w:color w:val="000000"/>
          <w:kern w:val="0"/>
          <w:sz w:val="21"/>
          <w:szCs w:val="21"/>
          <w14:ligatures w14:val="none"/>
        </w:rPr>
        <w:t xml:space="preserve"> may be localized to those areas where it is most crucial to forming </w:t>
      </w:r>
      <w:proofErr w:type="spellStart"/>
      <w:r w:rsidRPr="00B76913">
        <w:rPr>
          <w:rFonts w:ascii="Poppins" w:eastAsia="Times New Roman" w:hAnsi="Poppins" w:cs="Poppins"/>
          <w:color w:val="000000"/>
          <w:kern w:val="0"/>
          <w:sz w:val="21"/>
          <w:szCs w:val="21"/>
          <w14:ligatures w14:val="none"/>
        </w:rPr>
        <w:t>axin</w:t>
      </w:r>
      <w:proofErr w:type="spellEnd"/>
      <w:r w:rsidRPr="00B76913">
        <w:rPr>
          <w:rFonts w:ascii="Poppins" w:eastAsia="Times New Roman" w:hAnsi="Poppins" w:cs="Poppins"/>
          <w:color w:val="000000"/>
          <w:kern w:val="0"/>
          <w:sz w:val="21"/>
          <w:szCs w:val="21"/>
          <w14:ligatures w14:val="none"/>
        </w:rPr>
        <w:t xml:space="preserve"> filaments, which are further required for fibroblast and immune cell migration. Thus, BPC-157 &amp; TB-500 blend may possibly synergize to enhance the </w:t>
      </w:r>
      <w:r w:rsidRPr="00B76913">
        <w:rPr>
          <w:rFonts w:ascii="Poppins" w:eastAsia="Times New Roman" w:hAnsi="Poppins" w:cs="Poppins"/>
          <w:color w:val="000000"/>
          <w:kern w:val="0"/>
          <w:sz w:val="21"/>
          <w:szCs w:val="21"/>
          <w14:ligatures w14:val="none"/>
        </w:rPr>
        <w:lastRenderedPageBreak/>
        <w:t xml:space="preserve">expression and function of </w:t>
      </w:r>
      <w:proofErr w:type="gramStart"/>
      <w:r w:rsidRPr="00B76913">
        <w:rPr>
          <w:rFonts w:ascii="Poppins" w:eastAsia="Times New Roman" w:hAnsi="Poppins" w:cs="Poppins"/>
          <w:color w:val="000000"/>
          <w:kern w:val="0"/>
          <w:sz w:val="21"/>
          <w:szCs w:val="21"/>
          <w14:ligatures w14:val="none"/>
        </w:rPr>
        <w:t>actin</w:t>
      </w:r>
      <w:proofErr w:type="gramEnd"/>
      <w:r w:rsidRPr="00B76913">
        <w:rPr>
          <w:rFonts w:ascii="Poppins" w:eastAsia="Times New Roman" w:hAnsi="Poppins" w:cs="Poppins"/>
          <w:color w:val="000000"/>
          <w:kern w:val="0"/>
          <w:sz w:val="21"/>
          <w:szCs w:val="21"/>
          <w14:ligatures w14:val="none"/>
        </w:rPr>
        <w:t xml:space="preserve"> and promote faster migration of cells to the areas of damage. Individually, TB-500 has long been advanced by researchers for its potential positive action following myocardial infarction.</w:t>
      </w:r>
      <w:r w:rsidRPr="00B76913">
        <w:rPr>
          <w:rFonts w:ascii="Poppins" w:eastAsia="Times New Roman" w:hAnsi="Poppins" w:cs="Poppins"/>
          <w:color w:val="000000"/>
          <w:kern w:val="0"/>
          <w:sz w:val="15"/>
          <w:szCs w:val="15"/>
          <w:bdr w:val="none" w:sz="0" w:space="0" w:color="auto" w:frame="1"/>
          <w:vertAlign w:val="superscript"/>
          <w14:ligatures w14:val="none"/>
        </w:rPr>
        <w:t>[4]</w:t>
      </w:r>
      <w:r w:rsidRPr="00B76913">
        <w:rPr>
          <w:rFonts w:ascii="Poppins" w:eastAsia="Times New Roman" w:hAnsi="Poppins" w:cs="Poppins"/>
          <w:color w:val="000000"/>
          <w:kern w:val="0"/>
          <w:sz w:val="21"/>
          <w:szCs w:val="21"/>
          <w14:ligatures w14:val="none"/>
        </w:rPr>
        <w:t> This is due to its proposed involvement in cardiac muscle repair in injured tissues. It appears to reverse cardiac damage by increasing blood vessel growth in injured tissues and activating a cardiac response that may promote healing of the cardiac tissue after an event of myocardial infarction. TB-500 has also been suggested to support cystic fibrosis due to its potential impact on sputum cohesivity, which has been observed to be decreased following TB-500 exposure. TB-500 may have a stimulatory action on myoblasts and myocytes.</w:t>
      </w:r>
      <w:r w:rsidRPr="00B76913">
        <w:rPr>
          <w:rFonts w:ascii="Poppins" w:eastAsia="Times New Roman" w:hAnsi="Poppins" w:cs="Poppins"/>
          <w:color w:val="000000"/>
          <w:kern w:val="0"/>
          <w:sz w:val="15"/>
          <w:szCs w:val="15"/>
          <w:bdr w:val="none" w:sz="0" w:space="0" w:color="auto" w:frame="1"/>
          <w:vertAlign w:val="superscript"/>
          <w14:ligatures w14:val="none"/>
        </w:rPr>
        <w:t>[5]</w:t>
      </w:r>
      <w:r w:rsidRPr="00B76913">
        <w:rPr>
          <w:rFonts w:ascii="Poppins" w:eastAsia="Times New Roman" w:hAnsi="Poppins" w:cs="Poppins"/>
          <w:color w:val="000000"/>
          <w:kern w:val="0"/>
          <w:sz w:val="21"/>
          <w:szCs w:val="21"/>
          <w14:ligatures w14:val="none"/>
        </w:rPr>
        <w:t> Increased levels of TB-500 have been associated with reduced inflammation at the injury site, which may promote skeletal muscle regeneration after an injury.</w:t>
      </w:r>
    </w:p>
    <w:p w14:paraId="38CE4282" w14:textId="77777777" w:rsidR="00B76913" w:rsidRPr="00B76913" w:rsidRDefault="00B76913" w:rsidP="00B7691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BPC-157 &amp; TB-500 PEPTIDES AND WOUND RESEARCH</w:t>
      </w:r>
      <w:r w:rsidRPr="00B76913">
        <w:rPr>
          <w:rFonts w:ascii="Poppins" w:eastAsia="Times New Roman" w:hAnsi="Poppins" w:cs="Poppins"/>
          <w:color w:val="000000"/>
          <w:kern w:val="0"/>
          <w:sz w:val="21"/>
          <w:szCs w:val="21"/>
          <w14:ligatures w14:val="none"/>
        </w:rPr>
        <w:br/>
        <w:t xml:space="preserve">BPC-157 is also known as Body Protection Compound-157. This </w:t>
      </w:r>
      <w:proofErr w:type="spellStart"/>
      <w:r w:rsidRPr="00B76913">
        <w:rPr>
          <w:rFonts w:ascii="Poppins" w:eastAsia="Times New Roman" w:hAnsi="Poppins" w:cs="Poppins"/>
          <w:color w:val="000000"/>
          <w:kern w:val="0"/>
          <w:sz w:val="21"/>
          <w:szCs w:val="21"/>
          <w14:ligatures w14:val="none"/>
        </w:rPr>
        <w:t>pentadecapeptide</w:t>
      </w:r>
      <w:proofErr w:type="spellEnd"/>
      <w:r w:rsidRPr="00B76913">
        <w:rPr>
          <w:rFonts w:ascii="Poppins" w:eastAsia="Times New Roman" w:hAnsi="Poppins" w:cs="Poppins"/>
          <w:color w:val="000000"/>
          <w:kern w:val="0"/>
          <w:sz w:val="21"/>
          <w:szCs w:val="21"/>
          <w14:ligatures w14:val="none"/>
        </w:rPr>
        <w:t xml:space="preserve"> comprises 15 amino acids and is similar in structure to a naturally occurring peptide of the same name, mainly found in gastric juice. BPC-157 has been studied for its potential in tissue repair. Laboratory studies on murine models have reported the healing of a transacted Achilles tendon in the presence of elevated levels of BPC-157</w:t>
      </w:r>
      <w:r w:rsidRPr="00B76913">
        <w:rPr>
          <w:rFonts w:ascii="Poppins" w:eastAsia="Times New Roman" w:hAnsi="Poppins" w:cs="Poppins"/>
          <w:color w:val="000000"/>
          <w:kern w:val="0"/>
          <w:sz w:val="21"/>
          <w:szCs w:val="21"/>
          <w:highlight w:val="yellow"/>
          <w14:ligatures w14:val="none"/>
        </w:rPr>
        <w:t>. BPC-157 has also been suggested to stimulate blood flow, modulate nitric oxide levels, and support the healing of stomach ulcers and intestinal injuries. BPC-157 may exert potential action by upregulating growth factors such as early growth response gene-1 (EGR-1). The interaction between BPC-157 and early EGR-1 appears to involve specific molecular mechanisms</w:t>
      </w:r>
      <w:r w:rsidRPr="00B76913">
        <w:rPr>
          <w:rFonts w:ascii="Poppins" w:eastAsia="Times New Roman" w:hAnsi="Poppins" w:cs="Poppins"/>
          <w:color w:val="000000"/>
          <w:kern w:val="0"/>
          <w:sz w:val="21"/>
          <w:szCs w:val="21"/>
          <w14:ligatures w14:val="none"/>
        </w:rPr>
        <w:t>.</w:t>
      </w:r>
      <w:r w:rsidRPr="00B76913">
        <w:rPr>
          <w:rFonts w:ascii="Poppins" w:eastAsia="Times New Roman" w:hAnsi="Poppins" w:cs="Poppins"/>
          <w:color w:val="000000"/>
          <w:kern w:val="0"/>
          <w:sz w:val="15"/>
          <w:szCs w:val="15"/>
          <w:bdr w:val="none" w:sz="0" w:space="0" w:color="auto" w:frame="1"/>
          <w:vertAlign w:val="superscript"/>
          <w14:ligatures w14:val="none"/>
        </w:rPr>
        <w:t>[6]</w:t>
      </w:r>
      <w:r w:rsidRPr="00B76913">
        <w:rPr>
          <w:rFonts w:ascii="Poppins" w:eastAsia="Times New Roman" w:hAnsi="Poppins" w:cs="Poppins"/>
          <w:color w:val="000000"/>
          <w:kern w:val="0"/>
          <w:sz w:val="21"/>
          <w:szCs w:val="21"/>
          <w14:ligatures w14:val="none"/>
        </w:rPr>
        <w:t xml:space="preserve"> In a study comparing the mechanism of action of BPC-157 with </w:t>
      </w:r>
      <w:proofErr w:type="spellStart"/>
      <w:r w:rsidRPr="00B76913">
        <w:rPr>
          <w:rFonts w:ascii="Poppins" w:eastAsia="Times New Roman" w:hAnsi="Poppins" w:cs="Poppins"/>
          <w:color w:val="000000"/>
          <w:kern w:val="0"/>
          <w:sz w:val="21"/>
          <w:szCs w:val="21"/>
          <w14:ligatures w14:val="none"/>
        </w:rPr>
        <w:t>becaplermin</w:t>
      </w:r>
      <w:proofErr w:type="spellEnd"/>
      <w:r w:rsidRPr="00B76913">
        <w:rPr>
          <w:rFonts w:ascii="Poppins" w:eastAsia="Times New Roman" w:hAnsi="Poppins" w:cs="Poppins"/>
          <w:color w:val="000000"/>
          <w:kern w:val="0"/>
          <w:sz w:val="21"/>
          <w:szCs w:val="21"/>
          <w14:ligatures w14:val="none"/>
        </w:rPr>
        <w:t xml:space="preserve"> (PDGF-BB), a peptide suggested for lower extremity ulcers, the expression of EGR-1 was investigated.</w:t>
      </w:r>
      <w:r w:rsidRPr="00B76913">
        <w:rPr>
          <w:rFonts w:ascii="Poppins" w:eastAsia="Times New Roman" w:hAnsi="Poppins" w:cs="Poppins"/>
          <w:color w:val="000000"/>
          <w:kern w:val="0"/>
          <w:sz w:val="21"/>
          <w:szCs w:val="21"/>
          <w14:ligatures w14:val="none"/>
        </w:rPr>
        <w:br/>
        <w:t xml:space="preserve">The study examined granulation tissue formation in sponge implantation in normoglycemic rats and healing of full-thickness excisional wounds in </w:t>
      </w:r>
      <w:proofErr w:type="spellStart"/>
      <w:r w:rsidRPr="00B76913">
        <w:rPr>
          <w:rFonts w:ascii="Poppins" w:eastAsia="Times New Roman" w:hAnsi="Poppins" w:cs="Poppins"/>
          <w:color w:val="000000"/>
          <w:kern w:val="0"/>
          <w:sz w:val="21"/>
          <w:szCs w:val="21"/>
          <w14:ligatures w14:val="none"/>
        </w:rPr>
        <w:t>db</w:t>
      </w:r>
      <w:proofErr w:type="spellEnd"/>
      <w:r w:rsidRPr="00B76913">
        <w:rPr>
          <w:rFonts w:ascii="Poppins" w:eastAsia="Times New Roman" w:hAnsi="Poppins" w:cs="Poppins"/>
          <w:color w:val="000000"/>
          <w:kern w:val="0"/>
          <w:sz w:val="21"/>
          <w:szCs w:val="21"/>
          <w14:ligatures w14:val="none"/>
        </w:rPr>
        <w:t>/</w:t>
      </w:r>
      <w:proofErr w:type="spellStart"/>
      <w:r w:rsidRPr="00B76913">
        <w:rPr>
          <w:rFonts w:ascii="Poppins" w:eastAsia="Times New Roman" w:hAnsi="Poppins" w:cs="Poppins"/>
          <w:color w:val="000000"/>
          <w:kern w:val="0"/>
          <w:sz w:val="21"/>
          <w:szCs w:val="21"/>
          <w14:ligatures w14:val="none"/>
        </w:rPr>
        <w:t>db</w:t>
      </w:r>
      <w:proofErr w:type="spellEnd"/>
      <w:r w:rsidRPr="00B76913">
        <w:rPr>
          <w:rFonts w:ascii="Poppins" w:eastAsia="Times New Roman" w:hAnsi="Poppins" w:cs="Poppins"/>
          <w:color w:val="000000"/>
          <w:kern w:val="0"/>
          <w:sz w:val="21"/>
          <w:szCs w:val="21"/>
          <w14:ligatures w14:val="none"/>
        </w:rPr>
        <w:t xml:space="preserve"> genetically diabetic mice. Both PDGF-BB and BPC-157 were observed to exhibit similar selectivity for stimulating granulation tissue in both models. However, BPC-157 may have greater potential in promoting early collagen organization, as suggested by the research teams. Additionally, the researchers speculated that BPC-157 may have induced the expression of EGR-1 and its repressor, nerve growth factor 1-A binding protein-2 (nab2), in non-differentiated Caco-2 cells more rapidly than PDGF-BB. EGR-1 is a gene that is considered to respond immediately and is potentially involved in the generation of cytokines and growth factors, as well as the early formation of extracellular matrix components like collagen. The apparent stimulation of EGR-1 expression by BPC-157 may suggest a hypothetical mechanism by which it may possibly improve wound healing. There are also several proposed mechanisms regarding how TB-500 might potentially interact with wound healing processes</w:t>
      </w:r>
      <w:r w:rsidRPr="00B76913">
        <w:rPr>
          <w:rFonts w:ascii="Poppins" w:eastAsia="Times New Roman" w:hAnsi="Poppins" w:cs="Poppins"/>
          <w:color w:val="000000"/>
          <w:kern w:val="0"/>
          <w:sz w:val="21"/>
          <w:szCs w:val="21"/>
          <w:highlight w:val="yellow"/>
          <w14:ligatures w14:val="none"/>
        </w:rPr>
        <w:t>. TB-500 introduction appears to influence cytokine production and accelerate wound healing in models of corneal wounds.</w:t>
      </w:r>
      <w:r w:rsidRPr="00B76913">
        <w:rPr>
          <w:rFonts w:ascii="Poppins" w:eastAsia="Times New Roman" w:hAnsi="Poppins" w:cs="Poppins"/>
          <w:color w:val="000000"/>
          <w:kern w:val="0"/>
          <w:sz w:val="15"/>
          <w:szCs w:val="15"/>
          <w:highlight w:val="yellow"/>
          <w:bdr w:val="none" w:sz="0" w:space="0" w:color="auto" w:frame="1"/>
          <w:vertAlign w:val="superscript"/>
          <w14:ligatures w14:val="none"/>
        </w:rPr>
        <w:t>[7]</w:t>
      </w:r>
      <w:r w:rsidRPr="00B76913">
        <w:rPr>
          <w:rFonts w:ascii="Poppins" w:eastAsia="Times New Roman" w:hAnsi="Poppins" w:cs="Poppins"/>
          <w:color w:val="000000"/>
          <w:kern w:val="0"/>
          <w:sz w:val="21"/>
          <w:szCs w:val="21"/>
          <w:highlight w:val="yellow"/>
          <w14:ligatures w14:val="none"/>
        </w:rPr>
        <w:t> After injury, TB-500 seems to enhance the expression of IL-1</w:t>
      </w:r>
      <w:r w:rsidRPr="00B76913">
        <w:rPr>
          <w:rFonts w:ascii="Cambria" w:eastAsia="Times New Roman" w:hAnsi="Cambria" w:cs="Cambria"/>
          <w:color w:val="000000"/>
          <w:kern w:val="0"/>
          <w:sz w:val="21"/>
          <w:szCs w:val="21"/>
          <w:highlight w:val="yellow"/>
          <w14:ligatures w14:val="none"/>
        </w:rPr>
        <w:t>β</w:t>
      </w:r>
      <w:r w:rsidRPr="00B76913">
        <w:rPr>
          <w:rFonts w:ascii="Poppins" w:eastAsia="Times New Roman" w:hAnsi="Poppins" w:cs="Poppins"/>
          <w:color w:val="000000"/>
          <w:kern w:val="0"/>
          <w:sz w:val="21"/>
          <w:szCs w:val="21"/>
          <w:highlight w:val="yellow"/>
          <w14:ligatures w14:val="none"/>
        </w:rPr>
        <w:t xml:space="preserve"> and IL-6 mRNA in murine model corneas. Additionally, TB-500 presentation following alkali injury may reduce the expression of </w:t>
      </w:r>
      <w:proofErr w:type="spellStart"/>
      <w:r w:rsidRPr="00B76913">
        <w:rPr>
          <w:rFonts w:ascii="Poppins" w:eastAsia="Times New Roman" w:hAnsi="Poppins" w:cs="Poppins"/>
          <w:color w:val="000000"/>
          <w:kern w:val="0"/>
          <w:sz w:val="21"/>
          <w:szCs w:val="21"/>
          <w:highlight w:val="yellow"/>
          <w14:ligatures w14:val="none"/>
        </w:rPr>
        <w:lastRenderedPageBreak/>
        <w:t>chemoattractants</w:t>
      </w:r>
      <w:proofErr w:type="spellEnd"/>
      <w:r w:rsidRPr="00B76913">
        <w:rPr>
          <w:rFonts w:ascii="Poppins" w:eastAsia="Times New Roman" w:hAnsi="Poppins" w:cs="Poppins"/>
          <w:color w:val="000000"/>
          <w:kern w:val="0"/>
          <w:sz w:val="21"/>
          <w:szCs w:val="21"/>
          <w:highlight w:val="yellow"/>
          <w14:ligatures w14:val="none"/>
        </w:rPr>
        <w:t xml:space="preserve"> for polymorphonuclear neutrophils</w:t>
      </w:r>
      <w:r w:rsidRPr="00B76913">
        <w:rPr>
          <w:rFonts w:ascii="Poppins" w:eastAsia="Times New Roman" w:hAnsi="Poppins" w:cs="Poppins"/>
          <w:color w:val="000000"/>
          <w:kern w:val="0"/>
          <w:sz w:val="21"/>
          <w:szCs w:val="21"/>
          <w14:ligatures w14:val="none"/>
        </w:rPr>
        <w:t xml:space="preserve"> (PMNs), MIP-2, and KC in mouse corneas, possibly resulting in reduced PMN infiltration. Regarding inflammatory signaling pathways in the cornea, TB-500 might mediate </w:t>
      </w:r>
      <w:proofErr w:type="spellStart"/>
      <w:r w:rsidRPr="00B76913">
        <w:rPr>
          <w:rFonts w:ascii="Poppins" w:eastAsia="Times New Roman" w:hAnsi="Poppins" w:cs="Poppins"/>
          <w:color w:val="000000"/>
          <w:kern w:val="0"/>
          <w:sz w:val="21"/>
          <w:szCs w:val="21"/>
          <w14:ligatures w14:val="none"/>
        </w:rPr>
        <w:t>NF</w:t>
      </w:r>
      <w:r w:rsidRPr="00B76913">
        <w:rPr>
          <w:rFonts w:ascii="Cambria" w:eastAsia="Times New Roman" w:hAnsi="Cambria" w:cs="Cambria"/>
          <w:color w:val="000000"/>
          <w:kern w:val="0"/>
          <w:sz w:val="21"/>
          <w:szCs w:val="21"/>
          <w14:ligatures w14:val="none"/>
        </w:rPr>
        <w:t>κ</w:t>
      </w:r>
      <w:r w:rsidRPr="00B76913">
        <w:rPr>
          <w:rFonts w:ascii="Poppins" w:eastAsia="Times New Roman" w:hAnsi="Poppins" w:cs="Poppins"/>
          <w:color w:val="000000"/>
          <w:kern w:val="0"/>
          <w:sz w:val="21"/>
          <w:szCs w:val="21"/>
          <w14:ligatures w14:val="none"/>
        </w:rPr>
        <w:t>B</w:t>
      </w:r>
      <w:proofErr w:type="spellEnd"/>
      <w:r w:rsidRPr="00B76913">
        <w:rPr>
          <w:rFonts w:ascii="Poppins" w:eastAsia="Times New Roman" w:hAnsi="Poppins" w:cs="Poppins"/>
          <w:color w:val="000000"/>
          <w:kern w:val="0"/>
          <w:sz w:val="21"/>
          <w:szCs w:val="21"/>
          <w14:ligatures w14:val="none"/>
        </w:rPr>
        <w:t xml:space="preserve"> inflammatory signaling pathways, which could have anti-inflammatory effects. It has also been suggested that TB-500 has anti-apoptotic properties. Overexpression of TB-500 in cells appears to cause an increased growth rate, reduced basal apoptosis, and resistance to cell death-inducing factors. TB-500 may inhibit apoptosis in corneal epithelial cells by inhibiting caspases and suppressing the release of pro-apoptotic protein bcl-2 from mitochondria. The anti-apoptotic activity of TB-500 may involve the reduction of early cell death initiation signals and activation of the survival kinase Akt through complex formation with PINCH and integrin-linked kinase. TB-500 may exert an anti-apoptotic potential through multiple molecular pathways. However, it is important to note that these mechanisms are still speculative and require further research.</w:t>
      </w:r>
    </w:p>
    <w:p w14:paraId="5BDA3E94" w14:textId="77777777" w:rsidR="00B76913" w:rsidRPr="00B76913" w:rsidRDefault="00B76913" w:rsidP="00B76913">
      <w:pPr>
        <w:shd w:val="clear" w:color="auto" w:fill="EFEEEE"/>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BPC-157 &amp; TB-500 PEPTIDES AND ANGIOGENIC ACTION</w:t>
      </w:r>
      <w:r w:rsidRPr="00B76913">
        <w:rPr>
          <w:rFonts w:ascii="Poppins" w:eastAsia="Times New Roman" w:hAnsi="Poppins" w:cs="Poppins"/>
          <w:color w:val="000000"/>
          <w:kern w:val="0"/>
          <w:sz w:val="21"/>
          <w:szCs w:val="21"/>
          <w14:ligatures w14:val="none"/>
        </w:rPr>
        <w:br/>
        <w:t xml:space="preserve">BPC-157 &amp; TB-500 blend may exert angiogenic action. Several studies have attempted to shed light on the potential pro-angiogenic mechanism of BPC-157. BPC-157 appears to interact with the function of various growth factors, including vascular endothelial growth factor (VEGF). For example, one study using a chick </w:t>
      </w:r>
      <w:proofErr w:type="spellStart"/>
      <w:r w:rsidRPr="00B76913">
        <w:rPr>
          <w:rFonts w:ascii="Poppins" w:eastAsia="Times New Roman" w:hAnsi="Poppins" w:cs="Poppins"/>
          <w:color w:val="000000"/>
          <w:kern w:val="0"/>
          <w:sz w:val="21"/>
          <w:szCs w:val="21"/>
          <w14:ligatures w14:val="none"/>
        </w:rPr>
        <w:t>chorioallantoic</w:t>
      </w:r>
      <w:proofErr w:type="spellEnd"/>
      <w:r w:rsidRPr="00B76913">
        <w:rPr>
          <w:rFonts w:ascii="Poppins" w:eastAsia="Times New Roman" w:hAnsi="Poppins" w:cs="Poppins"/>
          <w:color w:val="000000"/>
          <w:kern w:val="0"/>
          <w:sz w:val="21"/>
          <w:szCs w:val="21"/>
          <w14:ligatures w14:val="none"/>
        </w:rPr>
        <w:t xml:space="preserve"> membrane (CAM) assay and an endothelial tube formation assay suggested that BPC-157 may have increased vessel density.</w:t>
      </w:r>
      <w:r w:rsidRPr="00B76913">
        <w:rPr>
          <w:rFonts w:ascii="Poppins" w:eastAsia="Times New Roman" w:hAnsi="Poppins" w:cs="Poppins"/>
          <w:color w:val="000000"/>
          <w:kern w:val="0"/>
          <w:sz w:val="15"/>
          <w:szCs w:val="15"/>
          <w:bdr w:val="none" w:sz="0" w:space="0" w:color="auto" w:frame="1"/>
          <w:vertAlign w:val="superscript"/>
          <w14:ligatures w14:val="none"/>
        </w:rPr>
        <w:t>[8]</w:t>
      </w:r>
      <w:r w:rsidRPr="00B76913">
        <w:rPr>
          <w:rFonts w:ascii="Poppins" w:eastAsia="Times New Roman" w:hAnsi="Poppins" w:cs="Poppins"/>
          <w:color w:val="000000"/>
          <w:kern w:val="0"/>
          <w:sz w:val="21"/>
          <w:szCs w:val="21"/>
          <w14:ligatures w14:val="none"/>
        </w:rPr>
        <w:t> Moreover, the research team suggested that the peptide may have facilitated the recovery of blood flow in the ischemic muscle of the rat hind limb, as determined by laser Doppler scanning, indicating the compound’s potential to promote angiogenesis. Hypothetically, histological analysis of the hind limb muscle may have confirmed the increased number of vessels and possibly enhanced vascular expression of vascular endothelial growth factor receptor 2 (VEGFR2) with BPC-157 influence. Further investigations using vascular endothelial cells suggested that BPC-157 might have increased mRNA and protein expressions of VEGFR2, but not VEGF-A. Additionally, BPC-157 possibly promoted the internalization of VEGFR2 in vascular endothelial cells. Furthermore, BPC-157 may have activated the VEGFR2-Akt-eNOS signaling pathway time-dependently. Therefore, it is posited that BPC-157 may exhibit pro-angiogenic action by potentially promoting the expression and internalization of VEGFR2 and potentially activating the VEGFR2-Akt-eNOS signaling pathway. The researchers concluded that </w:t>
      </w:r>
      <w:r w:rsidRPr="00B76913">
        <w:rPr>
          <w:rFonts w:ascii="Poppins" w:eastAsia="Times New Roman" w:hAnsi="Poppins" w:cs="Poppins"/>
          <w:i/>
          <w:iCs/>
          <w:color w:val="000000"/>
          <w:kern w:val="0"/>
          <w:sz w:val="21"/>
          <w:szCs w:val="21"/>
          <w:bdr w:val="none" w:sz="0" w:space="0" w:color="auto" w:frame="1"/>
          <w14:ligatures w14:val="none"/>
        </w:rPr>
        <w:t>“BPC 157 promotes VEGFR2 internalization in association with VEGFR2-Akt-eNOS activation.” </w:t>
      </w:r>
      <w:r w:rsidRPr="00B76913">
        <w:rPr>
          <w:rFonts w:ascii="Poppins" w:eastAsia="Times New Roman" w:hAnsi="Poppins" w:cs="Poppins"/>
          <w:color w:val="000000"/>
          <w:kern w:val="0"/>
          <w:sz w:val="21"/>
          <w:szCs w:val="21"/>
          <w14:ligatures w14:val="none"/>
        </w:rPr>
        <w:t>TB-500 may interact with angiogenesis through various molecular mechanisms. In the context of critical limb ischemia (CLI) in murine models, TB-500 appears to have pro-angiogenic potential, as suggested by researchers.</w:t>
      </w:r>
      <w:r w:rsidRPr="00B76913">
        <w:rPr>
          <w:rFonts w:ascii="Poppins" w:eastAsia="Times New Roman" w:hAnsi="Poppins" w:cs="Poppins"/>
          <w:color w:val="000000"/>
          <w:kern w:val="0"/>
          <w:sz w:val="15"/>
          <w:szCs w:val="15"/>
          <w:bdr w:val="none" w:sz="0" w:space="0" w:color="auto" w:frame="1"/>
          <w:vertAlign w:val="superscript"/>
          <w14:ligatures w14:val="none"/>
        </w:rPr>
        <w:t>[9]</w:t>
      </w:r>
      <w:r w:rsidRPr="00B76913">
        <w:rPr>
          <w:rFonts w:ascii="Poppins" w:eastAsia="Times New Roman" w:hAnsi="Poppins" w:cs="Poppins"/>
          <w:color w:val="000000"/>
          <w:kern w:val="0"/>
          <w:sz w:val="21"/>
          <w:szCs w:val="21"/>
          <w14:ligatures w14:val="none"/>
        </w:rPr>
        <w:t> TB-500 overexpression lentiviral vector transfected umbilical vein endothelial cells (HUVEC) and murine CLI models. To understand the underlying mechanisms, inhibitors targeting the Notch pathway (DAPT) and NF-</w:t>
      </w:r>
      <w:proofErr w:type="spellStart"/>
      <w:r w:rsidRPr="00B76913">
        <w:rPr>
          <w:rFonts w:ascii="Cambria" w:eastAsia="Times New Roman" w:hAnsi="Cambria" w:cs="Cambria"/>
          <w:color w:val="000000"/>
          <w:kern w:val="0"/>
          <w:sz w:val="21"/>
          <w:szCs w:val="21"/>
          <w14:ligatures w14:val="none"/>
        </w:rPr>
        <w:t>κ</w:t>
      </w:r>
      <w:r w:rsidRPr="00B76913">
        <w:rPr>
          <w:rFonts w:ascii="Poppins" w:eastAsia="Times New Roman" w:hAnsi="Poppins" w:cs="Poppins"/>
          <w:color w:val="000000"/>
          <w:kern w:val="0"/>
          <w:sz w:val="21"/>
          <w:szCs w:val="21"/>
          <w14:ligatures w14:val="none"/>
        </w:rPr>
        <w:t>B</w:t>
      </w:r>
      <w:proofErr w:type="spellEnd"/>
      <w:r w:rsidRPr="00B76913">
        <w:rPr>
          <w:rFonts w:ascii="Poppins" w:eastAsia="Times New Roman" w:hAnsi="Poppins" w:cs="Poppins"/>
          <w:color w:val="000000"/>
          <w:kern w:val="0"/>
          <w:sz w:val="21"/>
          <w:szCs w:val="21"/>
          <w14:ligatures w14:val="none"/>
        </w:rPr>
        <w:t xml:space="preserve"> pathway (BMS) were also applied to HUVEC and murine CLI models. The potential of TB-500 on angiogenesis and migration was assessed using MTT assays for cell viability, tube formation assays for angiogenesis, and wound </w:t>
      </w:r>
      <w:r w:rsidRPr="00B76913">
        <w:rPr>
          <w:rFonts w:ascii="Poppins" w:eastAsia="Times New Roman" w:hAnsi="Poppins" w:cs="Poppins"/>
          <w:color w:val="000000"/>
          <w:kern w:val="0"/>
          <w:sz w:val="21"/>
          <w:szCs w:val="21"/>
          <w14:ligatures w14:val="none"/>
        </w:rPr>
        <w:lastRenderedPageBreak/>
        <w:t>healing assays for the migratory ability of HUVEC. Additionally, various molecular techniques, including Western blotting, reverse transcription, quantitative PCR, immunofluorescence, and immunohistochemistry, were utilized to examine the expression levels of angiogenesis-related factors and the Notch/NF-</w:t>
      </w:r>
      <w:proofErr w:type="spellStart"/>
      <w:r w:rsidRPr="00B76913">
        <w:rPr>
          <w:rFonts w:ascii="Cambria" w:eastAsia="Times New Roman" w:hAnsi="Cambria" w:cs="Cambria"/>
          <w:color w:val="000000"/>
          <w:kern w:val="0"/>
          <w:sz w:val="21"/>
          <w:szCs w:val="21"/>
          <w14:ligatures w14:val="none"/>
        </w:rPr>
        <w:t>κ</w:t>
      </w:r>
      <w:r w:rsidRPr="00B76913">
        <w:rPr>
          <w:rFonts w:ascii="Poppins" w:eastAsia="Times New Roman" w:hAnsi="Poppins" w:cs="Poppins"/>
          <w:color w:val="000000"/>
          <w:kern w:val="0"/>
          <w:sz w:val="21"/>
          <w:szCs w:val="21"/>
          <w14:ligatures w14:val="none"/>
        </w:rPr>
        <w:t>B</w:t>
      </w:r>
      <w:proofErr w:type="spellEnd"/>
      <w:r w:rsidRPr="00B76913">
        <w:rPr>
          <w:rFonts w:ascii="Poppins" w:eastAsia="Times New Roman" w:hAnsi="Poppins" w:cs="Poppins"/>
          <w:color w:val="000000"/>
          <w:kern w:val="0"/>
          <w:sz w:val="21"/>
          <w:szCs w:val="21"/>
          <w14:ligatures w14:val="none"/>
        </w:rPr>
        <w:t xml:space="preserve"> pathways-related factors. The results suggested that TB-500 not only potentially enhanced the viability, angiogenesis, and migratory ability of HUVEC but possibly also promoted the expression of angiopoietin-2 (Ang2), TEK receptor tyrosine kinase 2 (tie2), vascular endothelial growth factor A (VEGFA), NOTCH1 intracellular domain (N1ICD), Notch receptor 3 (Notch3), NF-</w:t>
      </w:r>
      <w:proofErr w:type="spellStart"/>
      <w:r w:rsidRPr="00B76913">
        <w:rPr>
          <w:rFonts w:ascii="Cambria" w:eastAsia="Times New Roman" w:hAnsi="Cambria" w:cs="Cambria"/>
          <w:color w:val="000000"/>
          <w:kern w:val="0"/>
          <w:sz w:val="21"/>
          <w:szCs w:val="21"/>
          <w14:ligatures w14:val="none"/>
        </w:rPr>
        <w:t>κ</w:t>
      </w:r>
      <w:r w:rsidRPr="00B76913">
        <w:rPr>
          <w:rFonts w:ascii="Poppins" w:eastAsia="Times New Roman" w:hAnsi="Poppins" w:cs="Poppins"/>
          <w:color w:val="000000"/>
          <w:kern w:val="0"/>
          <w:sz w:val="21"/>
          <w:szCs w:val="21"/>
          <w14:ligatures w14:val="none"/>
        </w:rPr>
        <w:t>B</w:t>
      </w:r>
      <w:proofErr w:type="spellEnd"/>
      <w:r w:rsidRPr="00B76913">
        <w:rPr>
          <w:rFonts w:ascii="Poppins" w:eastAsia="Times New Roman" w:hAnsi="Poppins" w:cs="Poppins"/>
          <w:color w:val="000000"/>
          <w:kern w:val="0"/>
          <w:sz w:val="21"/>
          <w:szCs w:val="21"/>
          <w14:ligatures w14:val="none"/>
        </w:rPr>
        <w:t xml:space="preserve">, and phosphorylated (p)-p65 in HUVEC. Moreover, TB-500 also appeared to have promoted the expression of CD31, </w:t>
      </w:r>
      <w:r w:rsidRPr="00B76913">
        <w:rPr>
          <w:rFonts w:ascii="Cambria" w:eastAsia="Times New Roman" w:hAnsi="Cambria" w:cs="Cambria"/>
          <w:color w:val="000000"/>
          <w:kern w:val="0"/>
          <w:sz w:val="21"/>
          <w:szCs w:val="21"/>
          <w14:ligatures w14:val="none"/>
        </w:rPr>
        <w:t>α</w:t>
      </w:r>
      <w:r w:rsidRPr="00B76913">
        <w:rPr>
          <w:rFonts w:ascii="Poppins" w:eastAsia="Times New Roman" w:hAnsi="Poppins" w:cs="Poppins"/>
          <w:color w:val="000000"/>
          <w:kern w:val="0"/>
          <w:sz w:val="21"/>
          <w:szCs w:val="21"/>
          <w14:ligatures w14:val="none"/>
        </w:rPr>
        <w:t xml:space="preserve">-smooth muscle </w:t>
      </w:r>
      <w:proofErr w:type="gramStart"/>
      <w:r w:rsidRPr="00B76913">
        <w:rPr>
          <w:rFonts w:ascii="Poppins" w:eastAsia="Times New Roman" w:hAnsi="Poppins" w:cs="Poppins"/>
          <w:color w:val="000000"/>
          <w:kern w:val="0"/>
          <w:sz w:val="21"/>
          <w:szCs w:val="21"/>
          <w14:ligatures w14:val="none"/>
        </w:rPr>
        <w:t>actin</w:t>
      </w:r>
      <w:proofErr w:type="gramEnd"/>
      <w:r w:rsidRPr="00B76913">
        <w:rPr>
          <w:rFonts w:ascii="Poppins" w:eastAsia="Times New Roman" w:hAnsi="Poppins" w:cs="Poppins"/>
          <w:color w:val="000000"/>
          <w:kern w:val="0"/>
          <w:sz w:val="21"/>
          <w:szCs w:val="21"/>
          <w14:ligatures w14:val="none"/>
        </w:rPr>
        <w:t xml:space="preserve"> (</w:t>
      </w:r>
      <w:r w:rsidRPr="00B76913">
        <w:rPr>
          <w:rFonts w:ascii="Cambria" w:eastAsia="Times New Roman" w:hAnsi="Cambria" w:cs="Cambria"/>
          <w:color w:val="000000"/>
          <w:kern w:val="0"/>
          <w:sz w:val="21"/>
          <w:szCs w:val="21"/>
          <w14:ligatures w14:val="none"/>
        </w:rPr>
        <w:t>α</w:t>
      </w:r>
      <w:r w:rsidRPr="00B76913">
        <w:rPr>
          <w:rFonts w:ascii="Poppins" w:eastAsia="Times New Roman" w:hAnsi="Poppins" w:cs="Poppins"/>
          <w:color w:val="000000"/>
          <w:kern w:val="0"/>
          <w:sz w:val="21"/>
          <w:szCs w:val="21"/>
          <w14:ligatures w14:val="none"/>
        </w:rPr>
        <w:t>-SMA), Ang2, tie2, VEGFA, N1ICD, and p-p65 in the muscle tissues of murine CLI models. Interestingly, the presentation of DAPT and BMS appeared to exert the opposite action to TB-500, suggesting that the Notch/NF-</w:t>
      </w:r>
      <w:proofErr w:type="spellStart"/>
      <w:r w:rsidRPr="00B76913">
        <w:rPr>
          <w:rFonts w:ascii="Cambria" w:eastAsia="Times New Roman" w:hAnsi="Cambria" w:cs="Cambria"/>
          <w:color w:val="000000"/>
          <w:kern w:val="0"/>
          <w:sz w:val="21"/>
          <w:szCs w:val="21"/>
          <w14:ligatures w14:val="none"/>
        </w:rPr>
        <w:t>κ</w:t>
      </w:r>
      <w:r w:rsidRPr="00B76913">
        <w:rPr>
          <w:rFonts w:ascii="Poppins" w:eastAsia="Times New Roman" w:hAnsi="Poppins" w:cs="Poppins"/>
          <w:color w:val="000000"/>
          <w:kern w:val="0"/>
          <w:sz w:val="21"/>
          <w:szCs w:val="21"/>
          <w14:ligatures w14:val="none"/>
        </w:rPr>
        <w:t>B</w:t>
      </w:r>
      <w:proofErr w:type="spellEnd"/>
      <w:r w:rsidRPr="00B76913">
        <w:rPr>
          <w:rFonts w:ascii="Poppins" w:eastAsia="Times New Roman" w:hAnsi="Poppins" w:cs="Poppins"/>
          <w:color w:val="000000"/>
          <w:kern w:val="0"/>
          <w:sz w:val="21"/>
          <w:szCs w:val="21"/>
          <w14:ligatures w14:val="none"/>
        </w:rPr>
        <w:t xml:space="preserve"> pathways may mediate TB-500’s proposed action on angiogenesis. Furthermore, TB-500 seemingly reversed the action of DAPT and BMS, which may support its role in regulating these pathways. The researchers commented, </w:t>
      </w:r>
      <w:r w:rsidRPr="00B76913">
        <w:rPr>
          <w:rFonts w:ascii="Poppins" w:eastAsia="Times New Roman" w:hAnsi="Poppins" w:cs="Poppins"/>
          <w:i/>
          <w:iCs/>
          <w:color w:val="000000"/>
          <w:kern w:val="0"/>
          <w:sz w:val="21"/>
          <w:szCs w:val="21"/>
          <w:bdr w:val="none" w:sz="0" w:space="0" w:color="auto" w:frame="1"/>
          <w14:ligatures w14:val="none"/>
        </w:rPr>
        <w:t>“The findings from the present study suggested that T</w:t>
      </w:r>
      <w:r w:rsidRPr="00B76913">
        <w:rPr>
          <w:rFonts w:ascii="Cambria" w:eastAsia="Times New Roman" w:hAnsi="Cambria" w:cs="Cambria"/>
          <w:i/>
          <w:iCs/>
          <w:color w:val="000000"/>
          <w:kern w:val="0"/>
          <w:sz w:val="21"/>
          <w:szCs w:val="21"/>
          <w:bdr w:val="none" w:sz="0" w:space="0" w:color="auto" w:frame="1"/>
          <w14:ligatures w14:val="none"/>
        </w:rPr>
        <w:t>β</w:t>
      </w:r>
      <w:r w:rsidRPr="00B76913">
        <w:rPr>
          <w:rFonts w:ascii="Poppins" w:eastAsia="Times New Roman" w:hAnsi="Poppins" w:cs="Poppins"/>
          <w:i/>
          <w:iCs/>
          <w:color w:val="000000"/>
          <w:kern w:val="0"/>
          <w:sz w:val="21"/>
          <w:szCs w:val="21"/>
          <w:bdr w:val="none" w:sz="0" w:space="0" w:color="auto" w:frame="1"/>
          <w14:ligatures w14:val="none"/>
        </w:rPr>
        <w:t>4 may promote angiogenesis […] via regulation of Notch/NF-</w:t>
      </w:r>
      <w:proofErr w:type="spellStart"/>
      <w:r w:rsidRPr="00B76913">
        <w:rPr>
          <w:rFonts w:ascii="Cambria" w:eastAsia="Times New Roman" w:hAnsi="Cambria" w:cs="Cambria"/>
          <w:i/>
          <w:iCs/>
          <w:color w:val="000000"/>
          <w:kern w:val="0"/>
          <w:sz w:val="21"/>
          <w:szCs w:val="21"/>
          <w:bdr w:val="none" w:sz="0" w:space="0" w:color="auto" w:frame="1"/>
          <w14:ligatures w14:val="none"/>
        </w:rPr>
        <w:t>κ</w:t>
      </w:r>
      <w:r w:rsidRPr="00B76913">
        <w:rPr>
          <w:rFonts w:ascii="Poppins" w:eastAsia="Times New Roman" w:hAnsi="Poppins" w:cs="Poppins"/>
          <w:i/>
          <w:iCs/>
          <w:color w:val="000000"/>
          <w:kern w:val="0"/>
          <w:sz w:val="21"/>
          <w:szCs w:val="21"/>
          <w:bdr w:val="none" w:sz="0" w:space="0" w:color="auto" w:frame="1"/>
          <w14:ligatures w14:val="none"/>
        </w:rPr>
        <w:t>B</w:t>
      </w:r>
      <w:proofErr w:type="spellEnd"/>
      <w:r w:rsidRPr="00B76913">
        <w:rPr>
          <w:rFonts w:ascii="Poppins" w:eastAsia="Times New Roman" w:hAnsi="Poppins" w:cs="Poppins"/>
          <w:i/>
          <w:iCs/>
          <w:color w:val="000000"/>
          <w:kern w:val="0"/>
          <w:sz w:val="21"/>
          <w:szCs w:val="21"/>
          <w:bdr w:val="none" w:sz="0" w:space="0" w:color="auto" w:frame="1"/>
          <w14:ligatures w14:val="none"/>
        </w:rPr>
        <w:t xml:space="preserve"> pathways.”</w:t>
      </w:r>
    </w:p>
    <w:p w14:paraId="5E9FAD4C" w14:textId="77777777" w:rsidR="00B76913" w:rsidRPr="00B76913" w:rsidRDefault="00B76913" w:rsidP="00B76913">
      <w:pPr>
        <w:shd w:val="clear" w:color="auto" w:fill="FFFFFF"/>
        <w:spacing w:after="0" w:line="240" w:lineRule="auto"/>
        <w:textAlignment w:val="baseline"/>
        <w:rPr>
          <w:rFonts w:ascii="Poppins" w:eastAsia="Times New Roman" w:hAnsi="Poppins" w:cs="Poppins"/>
          <w:color w:val="000000"/>
          <w:kern w:val="0"/>
          <w:sz w:val="21"/>
          <w:szCs w:val="21"/>
          <w14:ligatures w14:val="none"/>
        </w:rPr>
      </w:pPr>
      <w:r w:rsidRPr="00B76913">
        <w:rPr>
          <w:rFonts w:ascii="Poppins" w:eastAsia="Times New Roman" w:hAnsi="Poppins" w:cs="Poppins"/>
          <w:b/>
          <w:bCs/>
          <w:caps/>
          <w:color w:val="0E66AF"/>
          <w:kern w:val="0"/>
          <w:sz w:val="20"/>
          <w:szCs w:val="20"/>
          <w:bdr w:val="none" w:sz="0" w:space="0" w:color="auto" w:frame="1"/>
          <w14:ligatures w14:val="none"/>
        </w:rPr>
        <w:t>BPC-157 &amp; TB-500 PEPTIDES AND GROWTH HORMONES, SYNERGISM</w:t>
      </w:r>
      <w:r w:rsidRPr="00B76913">
        <w:rPr>
          <w:rFonts w:ascii="Poppins" w:eastAsia="Times New Roman" w:hAnsi="Poppins" w:cs="Poppins"/>
          <w:color w:val="000000"/>
          <w:kern w:val="0"/>
          <w:sz w:val="21"/>
          <w:szCs w:val="21"/>
          <w14:ligatures w14:val="none"/>
        </w:rPr>
        <w:br/>
      </w:r>
      <w:r w:rsidRPr="00B76913">
        <w:rPr>
          <w:rFonts w:ascii="Poppins" w:eastAsia="Times New Roman" w:hAnsi="Poppins" w:cs="Poppins"/>
          <w:color w:val="000000"/>
          <w:kern w:val="0"/>
          <w:sz w:val="21"/>
          <w:szCs w:val="21"/>
          <w:highlight w:val="yellow"/>
          <w14:ligatures w14:val="none"/>
        </w:rPr>
        <w:t>Growth hormone may be a critical mediator in the synergism between BPC-157 and TB-500 when observed in the context of wound healing, as both molecules appear to interact with the growth hormone during the healing process. BPC-157 has been suggested by researchers to induce a higher production of growth hormone receptors on fibroblasts’ surfaces, possibly increasing the lifespan of these cells.</w:t>
      </w:r>
      <w:r w:rsidRPr="00B76913">
        <w:rPr>
          <w:rFonts w:ascii="Poppins" w:eastAsia="Times New Roman" w:hAnsi="Poppins" w:cs="Poppins"/>
          <w:color w:val="000000"/>
          <w:kern w:val="0"/>
          <w:sz w:val="15"/>
          <w:szCs w:val="15"/>
          <w:highlight w:val="yellow"/>
          <w:bdr w:val="none" w:sz="0" w:space="0" w:color="auto" w:frame="1"/>
          <w:vertAlign w:val="superscript"/>
          <w14:ligatures w14:val="none"/>
        </w:rPr>
        <w:t>[10]</w:t>
      </w:r>
      <w:r w:rsidRPr="00B76913">
        <w:rPr>
          <w:rFonts w:ascii="Poppins" w:eastAsia="Times New Roman" w:hAnsi="Poppins" w:cs="Poppins"/>
          <w:color w:val="000000"/>
          <w:kern w:val="0"/>
          <w:sz w:val="21"/>
          <w:szCs w:val="21"/>
          <w:highlight w:val="yellow"/>
          <w14:ligatures w14:val="none"/>
        </w:rPr>
        <w:t xml:space="preserve"> This process, in turn, might promote the regeneration of soft tissues. On the other hand, TB-500 may improve the localization of </w:t>
      </w:r>
      <w:proofErr w:type="gramStart"/>
      <w:r w:rsidRPr="00B76913">
        <w:rPr>
          <w:rFonts w:ascii="Poppins" w:eastAsia="Times New Roman" w:hAnsi="Poppins" w:cs="Poppins"/>
          <w:color w:val="000000"/>
          <w:kern w:val="0"/>
          <w:sz w:val="21"/>
          <w:szCs w:val="21"/>
          <w:highlight w:val="yellow"/>
          <w14:ligatures w14:val="none"/>
        </w:rPr>
        <w:t>actin</w:t>
      </w:r>
      <w:proofErr w:type="gramEnd"/>
      <w:r w:rsidRPr="00B76913">
        <w:rPr>
          <w:rFonts w:ascii="Poppins" w:eastAsia="Times New Roman" w:hAnsi="Poppins" w:cs="Poppins"/>
          <w:color w:val="000000"/>
          <w:kern w:val="0"/>
          <w:sz w:val="21"/>
          <w:szCs w:val="21"/>
          <w:highlight w:val="yellow"/>
          <w14:ligatures w14:val="none"/>
        </w:rPr>
        <w:t xml:space="preserve"> and filament formation. It appears to ensure that the actin reserve is well maintained for use by fibroblasts in their extended lifespans. Thus, BPC-157 &amp; TB-500 blend, collagen, and growth hormones may potentially form an effective synergistic approach in tissue repair research.</w:t>
      </w:r>
    </w:p>
    <w:p w14:paraId="43C59D66" w14:textId="77777777" w:rsidR="00B76913" w:rsidRPr="00B76913" w:rsidRDefault="00B76913" w:rsidP="00B76913">
      <w:pPr>
        <w:shd w:val="clear" w:color="auto" w:fill="F7F7F7"/>
        <w:spacing w:after="0" w:line="240" w:lineRule="atLeast"/>
        <w:jc w:val="center"/>
        <w:textAlignment w:val="baseline"/>
        <w:outlineLvl w:val="2"/>
        <w:rPr>
          <w:rFonts w:ascii="Poppins" w:eastAsia="Times New Roman" w:hAnsi="Poppins" w:cs="Poppins"/>
          <w:color w:val="555555"/>
          <w:kern w:val="0"/>
          <w:sz w:val="33"/>
          <w:szCs w:val="33"/>
          <w14:ligatures w14:val="none"/>
        </w:rPr>
      </w:pPr>
      <w:r w:rsidRPr="00B76913">
        <w:rPr>
          <w:rFonts w:ascii="Poppins" w:eastAsia="Times New Roman" w:hAnsi="Poppins" w:cs="Poppins"/>
          <w:color w:val="555555"/>
          <w:kern w:val="0"/>
          <w:sz w:val="33"/>
          <w:szCs w:val="33"/>
          <w14:ligatures w14:val="none"/>
        </w:rPr>
        <w:t>References</w:t>
      </w:r>
    </w:p>
    <w:p w14:paraId="0F342454"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76913">
        <w:rPr>
          <w:rFonts w:ascii="Poppins" w:eastAsia="Times New Roman" w:hAnsi="Poppins" w:cs="Poppins"/>
          <w:color w:val="555555"/>
          <w:kern w:val="0"/>
          <w:sz w:val="21"/>
          <w:szCs w:val="21"/>
          <w14:ligatures w14:val="none"/>
        </w:rPr>
        <w:t xml:space="preserve">Lee, E., &amp; Padgett, B. (2021). Intra-Articular Injection of BPC 157 for Multiple Types of </w:t>
      </w:r>
      <w:proofErr w:type="gramStart"/>
      <w:r w:rsidRPr="00B76913">
        <w:rPr>
          <w:rFonts w:ascii="Poppins" w:eastAsia="Times New Roman" w:hAnsi="Poppins" w:cs="Poppins"/>
          <w:color w:val="555555"/>
          <w:kern w:val="0"/>
          <w:sz w:val="21"/>
          <w:szCs w:val="21"/>
          <w14:ligatures w14:val="none"/>
        </w:rPr>
        <w:t>Knee</w:t>
      </w:r>
      <w:proofErr w:type="gramEnd"/>
      <w:r w:rsidRPr="00B76913">
        <w:rPr>
          <w:rFonts w:ascii="Poppins" w:eastAsia="Times New Roman" w:hAnsi="Poppins" w:cs="Poppins"/>
          <w:color w:val="555555"/>
          <w:kern w:val="0"/>
          <w:sz w:val="21"/>
          <w:szCs w:val="21"/>
          <w14:ligatures w14:val="none"/>
        </w:rPr>
        <w:t xml:space="preserve"> Pain. Alternative therapies in health and medicine, 27(4), 8–13.</w:t>
      </w:r>
    </w:p>
    <w:p w14:paraId="5E626EEC"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76913">
        <w:rPr>
          <w:rFonts w:ascii="Poppins" w:eastAsia="Times New Roman" w:hAnsi="Poppins" w:cs="Poppins"/>
          <w:color w:val="555555"/>
          <w:kern w:val="0"/>
          <w:sz w:val="21"/>
          <w:szCs w:val="21"/>
          <w14:ligatures w14:val="none"/>
        </w:rPr>
        <w:t xml:space="preserve">Chang, C. H., Tsai, W. C., Lin, M. S., Hsu, Y. H., &amp; Pang, J. H. (2011). The promoting effect of </w:t>
      </w:r>
      <w:proofErr w:type="spellStart"/>
      <w:r w:rsidRPr="00B76913">
        <w:rPr>
          <w:rFonts w:ascii="Poppins" w:eastAsia="Times New Roman" w:hAnsi="Poppins" w:cs="Poppins"/>
          <w:color w:val="555555"/>
          <w:kern w:val="0"/>
          <w:sz w:val="21"/>
          <w:szCs w:val="21"/>
          <w14:ligatures w14:val="none"/>
        </w:rPr>
        <w:t>pentadecapeptide</w:t>
      </w:r>
      <w:proofErr w:type="spellEnd"/>
      <w:r w:rsidRPr="00B76913">
        <w:rPr>
          <w:rFonts w:ascii="Poppins" w:eastAsia="Times New Roman" w:hAnsi="Poppins" w:cs="Poppins"/>
          <w:color w:val="555555"/>
          <w:kern w:val="0"/>
          <w:sz w:val="21"/>
          <w:szCs w:val="21"/>
          <w14:ligatures w14:val="none"/>
        </w:rPr>
        <w:t xml:space="preserve"> BPC 157 on tendon healing involves tendon outgrowth, cell survival, and cell migration. Journal of applied physiology (Bethesda, </w:t>
      </w:r>
      <w:proofErr w:type="gramStart"/>
      <w:r w:rsidRPr="00B76913">
        <w:rPr>
          <w:rFonts w:ascii="Poppins" w:eastAsia="Times New Roman" w:hAnsi="Poppins" w:cs="Poppins"/>
          <w:color w:val="555555"/>
          <w:kern w:val="0"/>
          <w:sz w:val="21"/>
          <w:szCs w:val="21"/>
          <w14:ligatures w14:val="none"/>
        </w:rPr>
        <w:t>Md. :</w:t>
      </w:r>
      <w:proofErr w:type="gramEnd"/>
      <w:r w:rsidRPr="00B76913">
        <w:rPr>
          <w:rFonts w:ascii="Poppins" w:eastAsia="Times New Roman" w:hAnsi="Poppins" w:cs="Poppins"/>
          <w:color w:val="555555"/>
          <w:kern w:val="0"/>
          <w:sz w:val="21"/>
          <w:szCs w:val="21"/>
          <w14:ligatures w14:val="none"/>
        </w:rPr>
        <w:t xml:space="preserve"> 1985), 110(3), 774–780.</w:t>
      </w:r>
      <w:hyperlink r:id="rId7" w:tgtFrame="_blank" w:history="1">
        <w:r w:rsidRPr="00B76913">
          <w:rPr>
            <w:rFonts w:ascii="Poppins" w:eastAsia="Times New Roman" w:hAnsi="Poppins" w:cs="Poppins"/>
            <w:color w:val="0E66AF"/>
            <w:kern w:val="0"/>
            <w:sz w:val="21"/>
            <w:szCs w:val="21"/>
            <w:u w:val="single"/>
            <w:bdr w:val="none" w:sz="0" w:space="0" w:color="auto" w:frame="1"/>
            <w14:ligatures w14:val="none"/>
          </w:rPr>
          <w:t> https://doi.org/10.1152/japplphysiol.00945.2010</w:t>
        </w:r>
      </w:hyperlink>
    </w:p>
    <w:p w14:paraId="01464DB9"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76913">
        <w:rPr>
          <w:rFonts w:ascii="Poppins" w:eastAsia="Times New Roman" w:hAnsi="Poppins" w:cs="Poppins"/>
          <w:color w:val="555555"/>
          <w:kern w:val="0"/>
          <w:sz w:val="21"/>
          <w:szCs w:val="21"/>
          <w14:ligatures w14:val="none"/>
        </w:rPr>
        <w:t xml:space="preserve">Moon, E. Y., </w:t>
      </w:r>
      <w:proofErr w:type="spellStart"/>
      <w:r w:rsidRPr="00B76913">
        <w:rPr>
          <w:rFonts w:ascii="Poppins" w:eastAsia="Times New Roman" w:hAnsi="Poppins" w:cs="Poppins"/>
          <w:color w:val="555555"/>
          <w:kern w:val="0"/>
          <w:sz w:val="21"/>
          <w:szCs w:val="21"/>
          <w14:ligatures w14:val="none"/>
        </w:rPr>
        <w:t>Im</w:t>
      </w:r>
      <w:proofErr w:type="spellEnd"/>
      <w:r w:rsidRPr="00B76913">
        <w:rPr>
          <w:rFonts w:ascii="Poppins" w:eastAsia="Times New Roman" w:hAnsi="Poppins" w:cs="Poppins"/>
          <w:color w:val="555555"/>
          <w:kern w:val="0"/>
          <w:sz w:val="21"/>
          <w:szCs w:val="21"/>
          <w14:ligatures w14:val="none"/>
        </w:rPr>
        <w:t>, Y. S., Ryu, Y. K., &amp; Kang, J. H. (2010). Actin-sequestering protein, thymosin beta-4, is a novel hypoxia responsive regulator. Clinical &amp; experimental metastasis, 27(8), 601–609.</w:t>
      </w:r>
      <w:hyperlink r:id="rId8" w:tgtFrame="_blank" w:history="1">
        <w:r w:rsidRPr="00B76913">
          <w:rPr>
            <w:rFonts w:ascii="Poppins" w:eastAsia="Times New Roman" w:hAnsi="Poppins" w:cs="Poppins"/>
            <w:color w:val="0E66AF"/>
            <w:kern w:val="0"/>
            <w:sz w:val="21"/>
            <w:szCs w:val="21"/>
            <w:u w:val="single"/>
            <w:bdr w:val="none" w:sz="0" w:space="0" w:color="auto" w:frame="1"/>
            <w14:ligatures w14:val="none"/>
          </w:rPr>
          <w:t> https://doi.org/10.1007/s10585-010-9350-z</w:t>
        </w:r>
      </w:hyperlink>
    </w:p>
    <w:p w14:paraId="01205A99"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76913">
        <w:rPr>
          <w:rFonts w:ascii="Poppins" w:eastAsia="Times New Roman" w:hAnsi="Poppins" w:cs="Poppins"/>
          <w:color w:val="555555"/>
          <w:kern w:val="0"/>
          <w:sz w:val="21"/>
          <w:szCs w:val="21"/>
          <w14:ligatures w14:val="none"/>
        </w:rPr>
        <w:lastRenderedPageBreak/>
        <w:t>Zhou, B., Honor, L. B., Ma, Q., Oh, J. H., Lin, R. Z., Melero-Martin, J. M., von Gise, A., Zhou, P., Hu, T., He, L., Wu, K. H., Zhang, H., Zhang, Y., &amp; Pu, W. T. (2012). Thymosin beta 4 treatment after myocardial infarction does not reprogram epicardial cells into cardiomyocytes. Journal of molecular and cellular cardiology, 52(1), 43–47.</w:t>
      </w:r>
      <w:hyperlink r:id="rId9" w:tgtFrame="_blank" w:history="1">
        <w:r w:rsidRPr="00B76913">
          <w:rPr>
            <w:rFonts w:ascii="Poppins" w:eastAsia="Times New Roman" w:hAnsi="Poppins" w:cs="Poppins"/>
            <w:color w:val="0E66AF"/>
            <w:kern w:val="0"/>
            <w:sz w:val="21"/>
            <w:szCs w:val="21"/>
            <w:u w:val="single"/>
            <w:bdr w:val="none" w:sz="0" w:space="0" w:color="auto" w:frame="1"/>
            <w14:ligatures w14:val="none"/>
          </w:rPr>
          <w:t> https://doi.org/10.1016/j.yjmcc.2011.08.020</w:t>
        </w:r>
      </w:hyperlink>
    </w:p>
    <w:p w14:paraId="51404F63"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B76913">
        <w:rPr>
          <w:rFonts w:ascii="Poppins" w:eastAsia="Times New Roman" w:hAnsi="Poppins" w:cs="Poppins"/>
          <w:color w:val="555555"/>
          <w:kern w:val="0"/>
          <w:sz w:val="21"/>
          <w:szCs w:val="21"/>
          <w14:ligatures w14:val="none"/>
        </w:rPr>
        <w:t>Tokura</w:t>
      </w:r>
      <w:proofErr w:type="spellEnd"/>
      <w:r w:rsidRPr="00B76913">
        <w:rPr>
          <w:rFonts w:ascii="Poppins" w:eastAsia="Times New Roman" w:hAnsi="Poppins" w:cs="Poppins"/>
          <w:color w:val="555555"/>
          <w:kern w:val="0"/>
          <w:sz w:val="21"/>
          <w:szCs w:val="21"/>
          <w14:ligatures w14:val="none"/>
        </w:rPr>
        <w:t xml:space="preserve">, Y., Nakayama, Y., Fukada, S., Nara, N., Yamamoto, H., Matsuda, R., &amp; Hara, T. (2011). Muscle injury-induced thymosin </w:t>
      </w:r>
      <w:r w:rsidRPr="00B76913">
        <w:rPr>
          <w:rFonts w:ascii="Cambria" w:eastAsia="Times New Roman" w:hAnsi="Cambria" w:cs="Cambria"/>
          <w:color w:val="555555"/>
          <w:kern w:val="0"/>
          <w:sz w:val="21"/>
          <w:szCs w:val="21"/>
          <w14:ligatures w14:val="none"/>
        </w:rPr>
        <w:t>β</w:t>
      </w:r>
      <w:r w:rsidRPr="00B76913">
        <w:rPr>
          <w:rFonts w:ascii="Poppins" w:eastAsia="Times New Roman" w:hAnsi="Poppins" w:cs="Poppins"/>
          <w:color w:val="555555"/>
          <w:kern w:val="0"/>
          <w:sz w:val="21"/>
          <w:szCs w:val="21"/>
          <w14:ligatures w14:val="none"/>
        </w:rPr>
        <w:t>4 acts as a chemoattractant for myoblasts. Journal of biochemistry, 149(1), 43–48.</w:t>
      </w:r>
      <w:hyperlink r:id="rId10" w:tgtFrame="_blank" w:history="1">
        <w:r w:rsidRPr="00B76913">
          <w:rPr>
            <w:rFonts w:ascii="Poppins" w:eastAsia="Times New Roman" w:hAnsi="Poppins" w:cs="Poppins"/>
            <w:color w:val="0E66AF"/>
            <w:kern w:val="0"/>
            <w:sz w:val="21"/>
            <w:szCs w:val="21"/>
            <w:u w:val="single"/>
            <w:bdr w:val="none" w:sz="0" w:space="0" w:color="auto" w:frame="1"/>
            <w14:ligatures w14:val="none"/>
          </w:rPr>
          <w:t> https://doi.org/10.1093/jb/mvq115</w:t>
        </w:r>
      </w:hyperlink>
    </w:p>
    <w:p w14:paraId="2B3269F5"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B76913">
        <w:rPr>
          <w:rFonts w:ascii="Poppins" w:eastAsia="Times New Roman" w:hAnsi="Poppins" w:cs="Poppins"/>
          <w:color w:val="555555"/>
          <w:kern w:val="0"/>
          <w:sz w:val="21"/>
          <w:szCs w:val="21"/>
          <w14:ligatures w14:val="none"/>
        </w:rPr>
        <w:t>Tkalcevi</w:t>
      </w:r>
      <w:r w:rsidRPr="00B76913">
        <w:rPr>
          <w:rFonts w:ascii="Cambria" w:eastAsia="Times New Roman" w:hAnsi="Cambria" w:cs="Cambria"/>
          <w:color w:val="555555"/>
          <w:kern w:val="0"/>
          <w:sz w:val="21"/>
          <w:szCs w:val="21"/>
          <w14:ligatures w14:val="none"/>
        </w:rPr>
        <w:t>ć</w:t>
      </w:r>
      <w:proofErr w:type="spellEnd"/>
      <w:r w:rsidRPr="00B76913">
        <w:rPr>
          <w:rFonts w:ascii="Poppins" w:eastAsia="Times New Roman" w:hAnsi="Poppins" w:cs="Poppins"/>
          <w:color w:val="555555"/>
          <w:kern w:val="0"/>
          <w:sz w:val="21"/>
          <w:szCs w:val="21"/>
          <w14:ligatures w14:val="none"/>
        </w:rPr>
        <w:t xml:space="preserve"> VI, </w:t>
      </w:r>
      <w:proofErr w:type="spellStart"/>
      <w:r w:rsidRPr="00B76913">
        <w:rPr>
          <w:rFonts w:ascii="Poppins" w:eastAsia="Times New Roman" w:hAnsi="Poppins" w:cs="Poppins"/>
          <w:color w:val="555555"/>
          <w:kern w:val="0"/>
          <w:sz w:val="21"/>
          <w:szCs w:val="21"/>
          <w14:ligatures w14:val="none"/>
        </w:rPr>
        <w:t>Cuzi</w:t>
      </w:r>
      <w:r w:rsidRPr="00B76913">
        <w:rPr>
          <w:rFonts w:ascii="Cambria" w:eastAsia="Times New Roman" w:hAnsi="Cambria" w:cs="Cambria"/>
          <w:color w:val="555555"/>
          <w:kern w:val="0"/>
          <w:sz w:val="21"/>
          <w:szCs w:val="21"/>
          <w14:ligatures w14:val="none"/>
        </w:rPr>
        <w:t>ć</w:t>
      </w:r>
      <w:proofErr w:type="spellEnd"/>
      <w:r w:rsidRPr="00B76913">
        <w:rPr>
          <w:rFonts w:ascii="Poppins" w:eastAsia="Times New Roman" w:hAnsi="Poppins" w:cs="Poppins"/>
          <w:color w:val="555555"/>
          <w:kern w:val="0"/>
          <w:sz w:val="21"/>
          <w:szCs w:val="21"/>
          <w14:ligatures w14:val="none"/>
        </w:rPr>
        <w:t xml:space="preserve"> S, </w:t>
      </w:r>
      <w:proofErr w:type="spellStart"/>
      <w:r w:rsidRPr="00B76913">
        <w:rPr>
          <w:rFonts w:ascii="Poppins" w:eastAsia="Times New Roman" w:hAnsi="Poppins" w:cs="Poppins"/>
          <w:color w:val="555555"/>
          <w:kern w:val="0"/>
          <w:sz w:val="21"/>
          <w:szCs w:val="21"/>
          <w14:ligatures w14:val="none"/>
        </w:rPr>
        <w:t>Brajsa</w:t>
      </w:r>
      <w:proofErr w:type="spellEnd"/>
      <w:r w:rsidRPr="00B76913">
        <w:rPr>
          <w:rFonts w:ascii="Poppins" w:eastAsia="Times New Roman" w:hAnsi="Poppins" w:cs="Poppins"/>
          <w:color w:val="555555"/>
          <w:kern w:val="0"/>
          <w:sz w:val="21"/>
          <w:szCs w:val="21"/>
          <w14:ligatures w14:val="none"/>
        </w:rPr>
        <w:t xml:space="preserve"> K, Mildner B, Bokuli</w:t>
      </w:r>
      <w:r w:rsidRPr="00B76913">
        <w:rPr>
          <w:rFonts w:ascii="Cambria" w:eastAsia="Times New Roman" w:hAnsi="Cambria" w:cs="Cambria"/>
          <w:color w:val="555555"/>
          <w:kern w:val="0"/>
          <w:sz w:val="21"/>
          <w:szCs w:val="21"/>
          <w14:ligatures w14:val="none"/>
        </w:rPr>
        <w:t>ć</w:t>
      </w:r>
      <w:r w:rsidRPr="00B76913">
        <w:rPr>
          <w:rFonts w:ascii="Poppins" w:eastAsia="Times New Roman" w:hAnsi="Poppins" w:cs="Poppins"/>
          <w:color w:val="555555"/>
          <w:kern w:val="0"/>
          <w:sz w:val="21"/>
          <w:szCs w:val="21"/>
          <w14:ligatures w14:val="none"/>
        </w:rPr>
        <w:t xml:space="preserve"> A, Situm K, Perovi</w:t>
      </w:r>
      <w:r w:rsidRPr="00B76913">
        <w:rPr>
          <w:rFonts w:ascii="Cambria" w:eastAsia="Times New Roman" w:hAnsi="Cambria" w:cs="Cambria"/>
          <w:color w:val="555555"/>
          <w:kern w:val="0"/>
          <w:sz w:val="21"/>
          <w:szCs w:val="21"/>
          <w14:ligatures w14:val="none"/>
        </w:rPr>
        <w:t>ć</w:t>
      </w:r>
      <w:r w:rsidRPr="00B76913">
        <w:rPr>
          <w:rFonts w:ascii="Poppins" w:eastAsia="Times New Roman" w:hAnsi="Poppins" w:cs="Poppins"/>
          <w:color w:val="555555"/>
          <w:kern w:val="0"/>
          <w:sz w:val="21"/>
          <w:szCs w:val="21"/>
          <w14:ligatures w14:val="none"/>
        </w:rPr>
        <w:t xml:space="preserve"> D, </w:t>
      </w:r>
      <w:proofErr w:type="spellStart"/>
      <w:r w:rsidRPr="00B76913">
        <w:rPr>
          <w:rFonts w:ascii="Poppins" w:eastAsia="Times New Roman" w:hAnsi="Poppins" w:cs="Poppins"/>
          <w:color w:val="555555"/>
          <w:kern w:val="0"/>
          <w:sz w:val="21"/>
          <w:szCs w:val="21"/>
          <w14:ligatures w14:val="none"/>
        </w:rPr>
        <w:t>Glojnari</w:t>
      </w:r>
      <w:r w:rsidRPr="00B76913">
        <w:rPr>
          <w:rFonts w:ascii="Cambria" w:eastAsia="Times New Roman" w:hAnsi="Cambria" w:cs="Cambria"/>
          <w:color w:val="555555"/>
          <w:kern w:val="0"/>
          <w:sz w:val="21"/>
          <w:szCs w:val="21"/>
          <w14:ligatures w14:val="none"/>
        </w:rPr>
        <w:t>ć</w:t>
      </w:r>
      <w:proofErr w:type="spellEnd"/>
      <w:r w:rsidRPr="00B76913">
        <w:rPr>
          <w:rFonts w:ascii="Poppins" w:eastAsia="Times New Roman" w:hAnsi="Poppins" w:cs="Poppins"/>
          <w:color w:val="555555"/>
          <w:kern w:val="0"/>
          <w:sz w:val="21"/>
          <w:szCs w:val="21"/>
          <w14:ligatures w14:val="none"/>
        </w:rPr>
        <w:t xml:space="preserve"> I, Parnham MJ. Enhancement by PL 14736 of granulation and collagen organization in healing wounds and the potential role of egr-1 expression. </w:t>
      </w:r>
      <w:proofErr w:type="spellStart"/>
      <w:r w:rsidRPr="00B76913">
        <w:rPr>
          <w:rFonts w:ascii="Poppins" w:eastAsia="Times New Roman" w:hAnsi="Poppins" w:cs="Poppins"/>
          <w:color w:val="555555"/>
          <w:kern w:val="0"/>
          <w:sz w:val="21"/>
          <w:szCs w:val="21"/>
          <w14:ligatures w14:val="none"/>
        </w:rPr>
        <w:t>Eur</w:t>
      </w:r>
      <w:proofErr w:type="spellEnd"/>
      <w:r w:rsidRPr="00B76913">
        <w:rPr>
          <w:rFonts w:ascii="Poppins" w:eastAsia="Times New Roman" w:hAnsi="Poppins" w:cs="Poppins"/>
          <w:color w:val="555555"/>
          <w:kern w:val="0"/>
          <w:sz w:val="21"/>
          <w:szCs w:val="21"/>
          <w14:ligatures w14:val="none"/>
        </w:rPr>
        <w:t xml:space="preserve"> J </w:t>
      </w:r>
      <w:proofErr w:type="spellStart"/>
      <w:r w:rsidRPr="00B76913">
        <w:rPr>
          <w:rFonts w:ascii="Poppins" w:eastAsia="Times New Roman" w:hAnsi="Poppins" w:cs="Poppins"/>
          <w:color w:val="555555"/>
          <w:kern w:val="0"/>
          <w:sz w:val="21"/>
          <w:szCs w:val="21"/>
          <w14:ligatures w14:val="none"/>
        </w:rPr>
        <w:t>Pharmacol</w:t>
      </w:r>
      <w:proofErr w:type="spellEnd"/>
      <w:r w:rsidRPr="00B76913">
        <w:rPr>
          <w:rFonts w:ascii="Poppins" w:eastAsia="Times New Roman" w:hAnsi="Poppins" w:cs="Poppins"/>
          <w:color w:val="555555"/>
          <w:kern w:val="0"/>
          <w:sz w:val="21"/>
          <w:szCs w:val="21"/>
          <w14:ligatures w14:val="none"/>
        </w:rPr>
        <w:t xml:space="preserve">. 2007 Sep 10;570(1-3):212-21. </w:t>
      </w:r>
      <w:proofErr w:type="spellStart"/>
      <w:r w:rsidRPr="00B76913">
        <w:rPr>
          <w:rFonts w:ascii="Poppins" w:eastAsia="Times New Roman" w:hAnsi="Poppins" w:cs="Poppins"/>
          <w:color w:val="555555"/>
          <w:kern w:val="0"/>
          <w:sz w:val="21"/>
          <w:szCs w:val="21"/>
          <w14:ligatures w14:val="none"/>
        </w:rPr>
        <w:t>doi</w:t>
      </w:r>
      <w:proofErr w:type="spellEnd"/>
      <w:r w:rsidRPr="00B76913">
        <w:rPr>
          <w:rFonts w:ascii="Poppins" w:eastAsia="Times New Roman" w:hAnsi="Poppins" w:cs="Poppins"/>
          <w:color w:val="555555"/>
          <w:kern w:val="0"/>
          <w:sz w:val="21"/>
          <w:szCs w:val="21"/>
          <w14:ligatures w14:val="none"/>
        </w:rPr>
        <w:t xml:space="preserve">: 10.1016/j.ejphar.2007.05.072. </w:t>
      </w:r>
      <w:proofErr w:type="spellStart"/>
      <w:r w:rsidRPr="00B76913">
        <w:rPr>
          <w:rFonts w:ascii="Poppins" w:eastAsia="Times New Roman" w:hAnsi="Poppins" w:cs="Poppins"/>
          <w:color w:val="555555"/>
          <w:kern w:val="0"/>
          <w:sz w:val="21"/>
          <w:szCs w:val="21"/>
          <w14:ligatures w14:val="none"/>
        </w:rPr>
        <w:t>Epub</w:t>
      </w:r>
      <w:proofErr w:type="spellEnd"/>
      <w:r w:rsidRPr="00B76913">
        <w:rPr>
          <w:rFonts w:ascii="Poppins" w:eastAsia="Times New Roman" w:hAnsi="Poppins" w:cs="Poppins"/>
          <w:color w:val="555555"/>
          <w:kern w:val="0"/>
          <w:sz w:val="21"/>
          <w:szCs w:val="21"/>
          <w14:ligatures w14:val="none"/>
        </w:rPr>
        <w:t xml:space="preserve"> 2007 Jun 16. PMID: 17628536.</w:t>
      </w:r>
    </w:p>
    <w:p w14:paraId="4817B731"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B76913">
        <w:rPr>
          <w:rFonts w:ascii="Poppins" w:eastAsia="Times New Roman" w:hAnsi="Poppins" w:cs="Poppins"/>
          <w:color w:val="555555"/>
          <w:kern w:val="0"/>
          <w:sz w:val="21"/>
          <w:szCs w:val="21"/>
          <w14:ligatures w14:val="none"/>
        </w:rPr>
        <w:t>Sosne</w:t>
      </w:r>
      <w:proofErr w:type="spellEnd"/>
      <w:r w:rsidRPr="00B76913">
        <w:rPr>
          <w:rFonts w:ascii="Poppins" w:eastAsia="Times New Roman" w:hAnsi="Poppins" w:cs="Poppins"/>
          <w:color w:val="555555"/>
          <w:kern w:val="0"/>
          <w:sz w:val="21"/>
          <w:szCs w:val="21"/>
          <w14:ligatures w14:val="none"/>
        </w:rPr>
        <w:t xml:space="preserve"> G, Qiu P, </w:t>
      </w:r>
      <w:proofErr w:type="spellStart"/>
      <w:r w:rsidRPr="00B76913">
        <w:rPr>
          <w:rFonts w:ascii="Poppins" w:eastAsia="Times New Roman" w:hAnsi="Poppins" w:cs="Poppins"/>
          <w:color w:val="555555"/>
          <w:kern w:val="0"/>
          <w:sz w:val="21"/>
          <w:szCs w:val="21"/>
          <w14:ligatures w14:val="none"/>
        </w:rPr>
        <w:t>Kurpakus</w:t>
      </w:r>
      <w:proofErr w:type="spellEnd"/>
      <w:r w:rsidRPr="00B76913">
        <w:rPr>
          <w:rFonts w:ascii="Poppins" w:eastAsia="Times New Roman" w:hAnsi="Poppins" w:cs="Poppins"/>
          <w:color w:val="555555"/>
          <w:kern w:val="0"/>
          <w:sz w:val="21"/>
          <w:szCs w:val="21"/>
          <w14:ligatures w14:val="none"/>
        </w:rPr>
        <w:t xml:space="preserve">-Wheater M. Thymosin beta 4: A novel corneal wound healing and anti-inflammatory agent. Clin </w:t>
      </w:r>
      <w:proofErr w:type="spellStart"/>
      <w:r w:rsidRPr="00B76913">
        <w:rPr>
          <w:rFonts w:ascii="Poppins" w:eastAsia="Times New Roman" w:hAnsi="Poppins" w:cs="Poppins"/>
          <w:color w:val="555555"/>
          <w:kern w:val="0"/>
          <w:sz w:val="21"/>
          <w:szCs w:val="21"/>
          <w14:ligatures w14:val="none"/>
        </w:rPr>
        <w:t>Ophthalmol</w:t>
      </w:r>
      <w:proofErr w:type="spellEnd"/>
      <w:r w:rsidRPr="00B76913">
        <w:rPr>
          <w:rFonts w:ascii="Poppins" w:eastAsia="Times New Roman" w:hAnsi="Poppins" w:cs="Poppins"/>
          <w:color w:val="555555"/>
          <w:kern w:val="0"/>
          <w:sz w:val="21"/>
          <w:szCs w:val="21"/>
          <w14:ligatures w14:val="none"/>
        </w:rPr>
        <w:t>. 2007 Sep;1(3):201-7. PMID: 19668473; PMCID: PMC2701135.</w:t>
      </w:r>
    </w:p>
    <w:p w14:paraId="50DBAED0"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r w:rsidRPr="00B76913">
        <w:rPr>
          <w:rFonts w:ascii="Poppins" w:eastAsia="Times New Roman" w:hAnsi="Poppins" w:cs="Poppins"/>
          <w:color w:val="555555"/>
          <w:kern w:val="0"/>
          <w:sz w:val="21"/>
          <w:szCs w:val="21"/>
          <w14:ligatures w14:val="none"/>
        </w:rPr>
        <w:t xml:space="preserve">Hsieh MJ, Liu HT, Wang CN, Huang HY, Lin Y, Ko YS, Wang JS, Chang VH, Pang JS. Therapeutic potential of pro-angiogenic BPC157 is associated with VEGFR2 activation and up-regulation. J Mol Med (Berl). 2017 Mar;95(3):323-333. </w:t>
      </w:r>
      <w:proofErr w:type="spellStart"/>
      <w:r w:rsidRPr="00B76913">
        <w:rPr>
          <w:rFonts w:ascii="Poppins" w:eastAsia="Times New Roman" w:hAnsi="Poppins" w:cs="Poppins"/>
          <w:color w:val="555555"/>
          <w:kern w:val="0"/>
          <w:sz w:val="21"/>
          <w:szCs w:val="21"/>
          <w14:ligatures w14:val="none"/>
        </w:rPr>
        <w:t>doi</w:t>
      </w:r>
      <w:proofErr w:type="spellEnd"/>
      <w:r w:rsidRPr="00B76913">
        <w:rPr>
          <w:rFonts w:ascii="Poppins" w:eastAsia="Times New Roman" w:hAnsi="Poppins" w:cs="Poppins"/>
          <w:color w:val="555555"/>
          <w:kern w:val="0"/>
          <w:sz w:val="21"/>
          <w:szCs w:val="21"/>
          <w14:ligatures w14:val="none"/>
        </w:rPr>
        <w:t xml:space="preserve">: 10.1007/s00109-016-1488-y. </w:t>
      </w:r>
      <w:proofErr w:type="spellStart"/>
      <w:r w:rsidRPr="00B76913">
        <w:rPr>
          <w:rFonts w:ascii="Poppins" w:eastAsia="Times New Roman" w:hAnsi="Poppins" w:cs="Poppins"/>
          <w:color w:val="555555"/>
          <w:kern w:val="0"/>
          <w:sz w:val="21"/>
          <w:szCs w:val="21"/>
          <w14:ligatures w14:val="none"/>
        </w:rPr>
        <w:t>Epub</w:t>
      </w:r>
      <w:proofErr w:type="spellEnd"/>
      <w:r w:rsidRPr="00B76913">
        <w:rPr>
          <w:rFonts w:ascii="Poppins" w:eastAsia="Times New Roman" w:hAnsi="Poppins" w:cs="Poppins"/>
          <w:color w:val="555555"/>
          <w:kern w:val="0"/>
          <w:sz w:val="21"/>
          <w:szCs w:val="21"/>
          <w14:ligatures w14:val="none"/>
        </w:rPr>
        <w:t xml:space="preserve"> 2016 Nov 15. PMID: 27847966.</w:t>
      </w:r>
    </w:p>
    <w:p w14:paraId="16CE3D81" w14:textId="77777777" w:rsidR="00B76913" w:rsidRPr="00B76913" w:rsidRDefault="00B76913" w:rsidP="00B76913">
      <w:pPr>
        <w:numPr>
          <w:ilvl w:val="0"/>
          <w:numId w:val="1"/>
        </w:numPr>
        <w:shd w:val="clear" w:color="auto" w:fill="FFFFFF"/>
        <w:spacing w:after="0" w:line="390" w:lineRule="atLeast"/>
        <w:textAlignment w:val="baseline"/>
        <w:rPr>
          <w:rFonts w:ascii="Poppins" w:eastAsia="Times New Roman" w:hAnsi="Poppins" w:cs="Poppins"/>
          <w:color w:val="555555"/>
          <w:kern w:val="0"/>
          <w:sz w:val="21"/>
          <w:szCs w:val="21"/>
          <w14:ligatures w14:val="none"/>
        </w:rPr>
      </w:pPr>
      <w:proofErr w:type="spellStart"/>
      <w:r w:rsidRPr="00B76913">
        <w:rPr>
          <w:rFonts w:ascii="Poppins" w:eastAsia="Times New Roman" w:hAnsi="Poppins" w:cs="Poppins"/>
          <w:color w:val="555555"/>
          <w:kern w:val="0"/>
          <w:sz w:val="21"/>
          <w:szCs w:val="21"/>
          <w14:ligatures w14:val="none"/>
        </w:rPr>
        <w:t>Lv</w:t>
      </w:r>
      <w:proofErr w:type="spellEnd"/>
      <w:r w:rsidRPr="00B76913">
        <w:rPr>
          <w:rFonts w:ascii="Poppins" w:eastAsia="Times New Roman" w:hAnsi="Poppins" w:cs="Poppins"/>
          <w:color w:val="555555"/>
          <w:kern w:val="0"/>
          <w:sz w:val="21"/>
          <w:szCs w:val="21"/>
          <w14:ligatures w14:val="none"/>
        </w:rPr>
        <w:t xml:space="preserve"> S, Cai H, Xu Y, Dai J, Rong X, Zheng L. Thymosin</w:t>
      </w:r>
      <w:r w:rsidRPr="00B76913">
        <w:rPr>
          <w:rFonts w:ascii="Poppins" w:eastAsia="Times New Roman" w:hAnsi="Poppins" w:cs="Poppins"/>
          <w:color w:val="555555"/>
          <w:kern w:val="0"/>
          <w:sz w:val="21"/>
          <w:szCs w:val="21"/>
          <w14:ligatures w14:val="none"/>
        </w:rPr>
        <w:noBreakHyphen/>
      </w:r>
      <w:r w:rsidRPr="00B76913">
        <w:rPr>
          <w:rFonts w:ascii="Cambria" w:eastAsia="Times New Roman" w:hAnsi="Cambria" w:cs="Cambria"/>
          <w:color w:val="555555"/>
          <w:kern w:val="0"/>
          <w:sz w:val="21"/>
          <w:szCs w:val="21"/>
          <w14:ligatures w14:val="none"/>
        </w:rPr>
        <w:t>β</w:t>
      </w:r>
      <w:r w:rsidRPr="00B76913">
        <w:rPr>
          <w:rFonts w:ascii="Poppins" w:eastAsia="Times New Roman" w:hAnsi="Poppins" w:cs="Poppins"/>
          <w:color w:val="555555"/>
          <w:kern w:val="0"/>
          <w:sz w:val="21"/>
          <w:szCs w:val="21"/>
          <w14:ligatures w14:val="none"/>
        </w:rPr>
        <w:t xml:space="preserve"> 4 induces angiogenesis in critical limb ischemia mice via regulating Notch/NF</w:t>
      </w:r>
      <w:r w:rsidRPr="00B76913">
        <w:rPr>
          <w:rFonts w:ascii="Poppins" w:eastAsia="Times New Roman" w:hAnsi="Poppins" w:cs="Poppins"/>
          <w:color w:val="555555"/>
          <w:kern w:val="0"/>
          <w:sz w:val="21"/>
          <w:szCs w:val="21"/>
          <w14:ligatures w14:val="none"/>
        </w:rPr>
        <w:noBreakHyphen/>
      </w:r>
      <w:proofErr w:type="spellStart"/>
      <w:r w:rsidRPr="00B76913">
        <w:rPr>
          <w:rFonts w:ascii="Cambria" w:eastAsia="Times New Roman" w:hAnsi="Cambria" w:cs="Cambria"/>
          <w:color w:val="555555"/>
          <w:kern w:val="0"/>
          <w:sz w:val="21"/>
          <w:szCs w:val="21"/>
          <w14:ligatures w14:val="none"/>
        </w:rPr>
        <w:t>κ</w:t>
      </w:r>
      <w:r w:rsidRPr="00B76913">
        <w:rPr>
          <w:rFonts w:ascii="Poppins" w:eastAsia="Times New Roman" w:hAnsi="Poppins" w:cs="Poppins"/>
          <w:color w:val="555555"/>
          <w:kern w:val="0"/>
          <w:sz w:val="21"/>
          <w:szCs w:val="21"/>
          <w14:ligatures w14:val="none"/>
        </w:rPr>
        <w:t>B</w:t>
      </w:r>
      <w:proofErr w:type="spellEnd"/>
      <w:r w:rsidRPr="00B76913">
        <w:rPr>
          <w:rFonts w:ascii="Poppins" w:eastAsia="Times New Roman" w:hAnsi="Poppins" w:cs="Poppins"/>
          <w:color w:val="555555"/>
          <w:kern w:val="0"/>
          <w:sz w:val="21"/>
          <w:szCs w:val="21"/>
          <w14:ligatures w14:val="none"/>
        </w:rPr>
        <w:t xml:space="preserve"> pathway. Int J Mol Med. 2020 Oct;46(4):1347-1358. </w:t>
      </w:r>
      <w:proofErr w:type="spellStart"/>
      <w:r w:rsidRPr="00B76913">
        <w:rPr>
          <w:rFonts w:ascii="Poppins" w:eastAsia="Times New Roman" w:hAnsi="Poppins" w:cs="Poppins"/>
          <w:color w:val="555555"/>
          <w:kern w:val="0"/>
          <w:sz w:val="21"/>
          <w:szCs w:val="21"/>
          <w14:ligatures w14:val="none"/>
        </w:rPr>
        <w:t>doi</w:t>
      </w:r>
      <w:proofErr w:type="spellEnd"/>
      <w:r w:rsidRPr="00B76913">
        <w:rPr>
          <w:rFonts w:ascii="Poppins" w:eastAsia="Times New Roman" w:hAnsi="Poppins" w:cs="Poppins"/>
          <w:color w:val="555555"/>
          <w:kern w:val="0"/>
          <w:sz w:val="21"/>
          <w:szCs w:val="21"/>
          <w14:ligatures w14:val="none"/>
        </w:rPr>
        <w:t xml:space="preserve">: 10.3892/ijmm.2020.4701. </w:t>
      </w:r>
      <w:proofErr w:type="spellStart"/>
      <w:r w:rsidRPr="00B76913">
        <w:rPr>
          <w:rFonts w:ascii="Poppins" w:eastAsia="Times New Roman" w:hAnsi="Poppins" w:cs="Poppins"/>
          <w:color w:val="555555"/>
          <w:kern w:val="0"/>
          <w:sz w:val="21"/>
          <w:szCs w:val="21"/>
          <w14:ligatures w14:val="none"/>
        </w:rPr>
        <w:t>Epub</w:t>
      </w:r>
      <w:proofErr w:type="spellEnd"/>
      <w:r w:rsidRPr="00B76913">
        <w:rPr>
          <w:rFonts w:ascii="Poppins" w:eastAsia="Times New Roman" w:hAnsi="Poppins" w:cs="Poppins"/>
          <w:color w:val="555555"/>
          <w:kern w:val="0"/>
          <w:sz w:val="21"/>
          <w:szCs w:val="21"/>
          <w14:ligatures w14:val="none"/>
        </w:rPr>
        <w:t xml:space="preserve"> 2020 Aug 11. PMID: 32945357; PMCID: PMC7447324.</w:t>
      </w:r>
    </w:p>
    <w:p w14:paraId="011A2C79" w14:textId="77777777" w:rsidR="00B76913" w:rsidRPr="00B76913" w:rsidRDefault="00B76913" w:rsidP="00B76913">
      <w:pPr>
        <w:numPr>
          <w:ilvl w:val="0"/>
          <w:numId w:val="1"/>
        </w:numPr>
        <w:shd w:val="clear" w:color="auto" w:fill="FFFFFF"/>
        <w:spacing w:line="390" w:lineRule="atLeast"/>
        <w:textAlignment w:val="baseline"/>
        <w:rPr>
          <w:rFonts w:ascii="Poppins" w:eastAsia="Times New Roman" w:hAnsi="Poppins" w:cs="Poppins"/>
          <w:color w:val="555555"/>
          <w:kern w:val="0"/>
          <w:sz w:val="21"/>
          <w:szCs w:val="21"/>
          <w14:ligatures w14:val="none"/>
        </w:rPr>
      </w:pPr>
      <w:r w:rsidRPr="00B76913">
        <w:rPr>
          <w:rFonts w:ascii="Poppins" w:eastAsia="Times New Roman" w:hAnsi="Poppins" w:cs="Poppins"/>
          <w:color w:val="555555"/>
          <w:kern w:val="0"/>
          <w:sz w:val="21"/>
          <w:szCs w:val="21"/>
          <w14:ligatures w14:val="none"/>
        </w:rPr>
        <w:t xml:space="preserve">Chang, C. H., Tsai, W. C., Hsu, Y. H., &amp; Pang, J. H. (2014). </w:t>
      </w:r>
      <w:proofErr w:type="spellStart"/>
      <w:r w:rsidRPr="00B76913">
        <w:rPr>
          <w:rFonts w:ascii="Poppins" w:eastAsia="Times New Roman" w:hAnsi="Poppins" w:cs="Poppins"/>
          <w:color w:val="555555"/>
          <w:kern w:val="0"/>
          <w:sz w:val="21"/>
          <w:szCs w:val="21"/>
          <w14:ligatures w14:val="none"/>
        </w:rPr>
        <w:t>Pentadecapeptide</w:t>
      </w:r>
      <w:proofErr w:type="spellEnd"/>
      <w:r w:rsidRPr="00B76913">
        <w:rPr>
          <w:rFonts w:ascii="Poppins" w:eastAsia="Times New Roman" w:hAnsi="Poppins" w:cs="Poppins"/>
          <w:color w:val="555555"/>
          <w:kern w:val="0"/>
          <w:sz w:val="21"/>
          <w:szCs w:val="21"/>
          <w14:ligatures w14:val="none"/>
        </w:rPr>
        <w:t xml:space="preserve"> BPC 157 enhances the growth hormone receptor expression in tendon fibroblasts. Molecules (Basel, Switzerland), 19(11), 19066–19077.</w:t>
      </w:r>
      <w:hyperlink r:id="rId11" w:tgtFrame="_blank" w:history="1">
        <w:r w:rsidRPr="00B76913">
          <w:rPr>
            <w:rFonts w:ascii="Poppins" w:eastAsia="Times New Roman" w:hAnsi="Poppins" w:cs="Poppins"/>
            <w:color w:val="0E66AF"/>
            <w:kern w:val="0"/>
            <w:sz w:val="21"/>
            <w:szCs w:val="21"/>
            <w:u w:val="single"/>
            <w:bdr w:val="none" w:sz="0" w:space="0" w:color="auto" w:frame="1"/>
            <w14:ligatures w14:val="none"/>
          </w:rPr>
          <w:t> https://doi.org/10.3390/molecules191119066</w:t>
        </w:r>
      </w:hyperlink>
    </w:p>
    <w:p w14:paraId="36B6D0A4" w14:textId="77777777" w:rsidR="00717912" w:rsidRDefault="00717912"/>
    <w:sectPr w:rsidR="007179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91187C"/>
    <w:multiLevelType w:val="multilevel"/>
    <w:tmpl w:val="2A6A6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9619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913"/>
    <w:rsid w:val="001749AB"/>
    <w:rsid w:val="00717912"/>
    <w:rsid w:val="009F6DB5"/>
    <w:rsid w:val="00B76913"/>
    <w:rsid w:val="00D91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EBDED"/>
  <w15:chartTrackingRefBased/>
  <w15:docId w15:val="{B329592F-CCDC-4B29-81A9-D0EEF05AD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9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9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691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91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91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91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91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91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91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9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9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69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9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9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9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9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9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913"/>
    <w:rPr>
      <w:rFonts w:eastAsiaTheme="majorEastAsia" w:cstheme="majorBidi"/>
      <w:color w:val="272727" w:themeColor="text1" w:themeTint="D8"/>
    </w:rPr>
  </w:style>
  <w:style w:type="paragraph" w:styleId="Title">
    <w:name w:val="Title"/>
    <w:basedOn w:val="Normal"/>
    <w:next w:val="Normal"/>
    <w:link w:val="TitleChar"/>
    <w:uiPriority w:val="10"/>
    <w:qFormat/>
    <w:rsid w:val="00B769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9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91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9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913"/>
    <w:pPr>
      <w:spacing w:before="160"/>
      <w:jc w:val="center"/>
    </w:pPr>
    <w:rPr>
      <w:i/>
      <w:iCs/>
      <w:color w:val="404040" w:themeColor="text1" w:themeTint="BF"/>
    </w:rPr>
  </w:style>
  <w:style w:type="character" w:customStyle="1" w:styleId="QuoteChar">
    <w:name w:val="Quote Char"/>
    <w:basedOn w:val="DefaultParagraphFont"/>
    <w:link w:val="Quote"/>
    <w:uiPriority w:val="29"/>
    <w:rsid w:val="00B76913"/>
    <w:rPr>
      <w:i/>
      <w:iCs/>
      <w:color w:val="404040" w:themeColor="text1" w:themeTint="BF"/>
    </w:rPr>
  </w:style>
  <w:style w:type="paragraph" w:styleId="ListParagraph">
    <w:name w:val="List Paragraph"/>
    <w:basedOn w:val="Normal"/>
    <w:uiPriority w:val="34"/>
    <w:qFormat/>
    <w:rsid w:val="00B76913"/>
    <w:pPr>
      <w:ind w:left="720"/>
      <w:contextualSpacing/>
    </w:pPr>
  </w:style>
  <w:style w:type="character" w:styleId="IntenseEmphasis">
    <w:name w:val="Intense Emphasis"/>
    <w:basedOn w:val="DefaultParagraphFont"/>
    <w:uiPriority w:val="21"/>
    <w:qFormat/>
    <w:rsid w:val="00B76913"/>
    <w:rPr>
      <w:i/>
      <w:iCs/>
      <w:color w:val="0F4761" w:themeColor="accent1" w:themeShade="BF"/>
    </w:rPr>
  </w:style>
  <w:style w:type="paragraph" w:styleId="IntenseQuote">
    <w:name w:val="Intense Quote"/>
    <w:basedOn w:val="Normal"/>
    <w:next w:val="Normal"/>
    <w:link w:val="IntenseQuoteChar"/>
    <w:uiPriority w:val="30"/>
    <w:qFormat/>
    <w:rsid w:val="00B76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913"/>
    <w:rPr>
      <w:i/>
      <w:iCs/>
      <w:color w:val="0F4761" w:themeColor="accent1" w:themeShade="BF"/>
    </w:rPr>
  </w:style>
  <w:style w:type="character" w:styleId="IntenseReference">
    <w:name w:val="Intense Reference"/>
    <w:basedOn w:val="DefaultParagraphFont"/>
    <w:uiPriority w:val="32"/>
    <w:qFormat/>
    <w:rsid w:val="00B7691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056160">
      <w:bodyDiv w:val="1"/>
      <w:marLeft w:val="0"/>
      <w:marRight w:val="0"/>
      <w:marTop w:val="0"/>
      <w:marBottom w:val="0"/>
      <w:divBdr>
        <w:top w:val="none" w:sz="0" w:space="0" w:color="auto"/>
        <w:left w:val="none" w:sz="0" w:space="0" w:color="auto"/>
        <w:bottom w:val="none" w:sz="0" w:space="0" w:color="auto"/>
        <w:right w:val="none" w:sz="0" w:space="0" w:color="auto"/>
      </w:divBdr>
      <w:divsChild>
        <w:div w:id="97086720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585-010-9350-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52/japplphysiol.00945.20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otechpeptides.com/product/tb-500-5mg/" TargetMode="External"/><Relationship Id="rId11" Type="http://schemas.openxmlformats.org/officeDocument/2006/relationships/hyperlink" Target="https://doi.org/10.3390/molecules191119066" TargetMode="External"/><Relationship Id="rId5" Type="http://schemas.openxmlformats.org/officeDocument/2006/relationships/hyperlink" Target="https://biotechpeptides.com/product/bpc-157-5mg/" TargetMode="External"/><Relationship Id="rId10" Type="http://schemas.openxmlformats.org/officeDocument/2006/relationships/hyperlink" Target="https://doi.org/10.1093/jb/mvq115" TargetMode="External"/><Relationship Id="rId4" Type="http://schemas.openxmlformats.org/officeDocument/2006/relationships/webSettings" Target="webSettings.xml"/><Relationship Id="rId9" Type="http://schemas.openxmlformats.org/officeDocument/2006/relationships/hyperlink" Target="https://doi.org/10.1016/j.yjmcc.2011.08.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2197</Words>
  <Characters>12526</Characters>
  <Application>Microsoft Office Word</Application>
  <DocSecurity>0</DocSecurity>
  <Lines>104</Lines>
  <Paragraphs>29</Paragraphs>
  <ScaleCrop>false</ScaleCrop>
  <Company/>
  <LinksUpToDate>false</LinksUpToDate>
  <CharactersWithSpaces>14694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Haberle</dc:creator>
  <cp:keywords/>
  <dc:description/>
  <cp:lastModifiedBy>Frank Haberle</cp:lastModifiedBy>
  <cp:revision>2</cp:revision>
  <dcterms:created xsi:type="dcterms:W3CDTF">2024-04-28T13:54:00Z</dcterms:created>
  <dcterms:modified xsi:type="dcterms:W3CDTF">2024-04-28T13:54:00Z</dcterms:modified>
</cp:coreProperties>
</file>